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E99" w:rsidRDefault="00D4075D">
      <w:pPr>
        <w:spacing w:line="520" w:lineRule="exact"/>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附件</w:t>
      </w: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w:t>
      </w:r>
    </w:p>
    <w:p w:rsidR="00391E99" w:rsidRDefault="00391E99">
      <w:pPr>
        <w:spacing w:line="520" w:lineRule="exact"/>
        <w:jc w:val="left"/>
        <w:rPr>
          <w:rFonts w:ascii="仿宋_GB2312" w:eastAsia="仿宋_GB2312" w:hAnsi="仿宋_GB2312" w:cs="仿宋_GB2312"/>
          <w:color w:val="000000" w:themeColor="text1"/>
          <w:sz w:val="32"/>
          <w:szCs w:val="32"/>
        </w:rPr>
      </w:pPr>
    </w:p>
    <w:p w:rsidR="00391E99" w:rsidRPr="00AD2716" w:rsidRDefault="00D4075D">
      <w:pPr>
        <w:spacing w:line="540" w:lineRule="exact"/>
        <w:jc w:val="center"/>
        <w:rPr>
          <w:rFonts w:ascii="方正小标宋_GBK" w:eastAsia="方正小标宋_GBK" w:hAnsi="方正小标宋_GBK" w:cs="方正小标宋_GBK"/>
          <w:bCs/>
          <w:color w:val="000000" w:themeColor="text1"/>
          <w:kern w:val="0"/>
          <w:sz w:val="44"/>
          <w:szCs w:val="44"/>
          <w:shd w:val="clear" w:color="auto" w:fill="FFFFFF"/>
          <w:lang w:bidi="ar"/>
        </w:rPr>
      </w:pPr>
      <w:bookmarkStart w:id="0" w:name="_GoBack"/>
      <w:r w:rsidRPr="00AD2716">
        <w:rPr>
          <w:rFonts w:ascii="方正小标宋_GBK" w:eastAsia="方正小标宋_GBK" w:hAnsi="方正小标宋_GBK" w:cs="方正小标宋_GBK" w:hint="eastAsia"/>
          <w:bCs/>
          <w:color w:val="000000" w:themeColor="text1"/>
          <w:kern w:val="0"/>
          <w:sz w:val="44"/>
          <w:szCs w:val="44"/>
          <w:shd w:val="clear" w:color="auto" w:fill="FFFFFF"/>
          <w:lang w:bidi="ar"/>
        </w:rPr>
        <w:t>广西师范学院“三全育人”示范校培育项目建设方案</w:t>
      </w:r>
      <w:bookmarkEnd w:id="0"/>
    </w:p>
    <w:p w:rsidR="00391E99" w:rsidRDefault="00391E99">
      <w:pPr>
        <w:spacing w:line="540" w:lineRule="exact"/>
        <w:ind w:firstLineChars="200" w:firstLine="640"/>
        <w:rPr>
          <w:rFonts w:ascii="仿宋_GB2312" w:eastAsia="仿宋_GB2312" w:hAnsi="仿宋_GB2312" w:cs="仿宋_GB2312"/>
          <w:color w:val="000000" w:themeColor="text1"/>
          <w:sz w:val="32"/>
          <w:szCs w:val="32"/>
        </w:rPr>
      </w:pP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为认真学习贯彻党的十九大精神，进一步贯彻落实全国、全区高校思想政治工作会议和《中共中央国务院关于加强和改进新形势下高校思想政治工作的意见》《高校思想政治工作质量提升工程实施纲要》精神，大力提升我区高校思想政治工作质量，自治区教育厅在</w:t>
      </w:r>
      <w:r>
        <w:rPr>
          <w:rFonts w:ascii="仿宋_GB2312" w:eastAsia="仿宋_GB2312" w:hAnsi="仿宋_GB2312" w:cs="仿宋_GB2312" w:hint="eastAsia"/>
          <w:color w:val="000000" w:themeColor="text1"/>
          <w:sz w:val="32"/>
          <w:szCs w:val="32"/>
        </w:rPr>
        <w:t>2018</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月开展了广西高校“三全育人”示范校培育项目申报工作。经积极组织申报，我校获批立项。为确保该项目顺利实施并通过验收，特制定本建设方案。</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一、建设目标</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坚持以习近平新时代中国特色社会主义思想为指导，以立德树人为根本，以理想信念教育为核心，以社会主义核心价值观为引领，以全面提高人才培养能力为关键，立足于师范院校的学科基础、特色和优势，按照“二五一十”，即“五个融合，五化机制，一个特色，十大体系”的总体思路，推进“思政课程”与“课程思政”、</w:t>
      </w:r>
      <w:r>
        <w:rPr>
          <w:rFonts w:ascii="仿宋_GB2312" w:eastAsia="仿宋_GB2312" w:hAnsi="仿宋_GB2312" w:cs="仿宋_GB2312" w:hint="eastAsia"/>
          <w:bCs/>
          <w:color w:val="000000" w:themeColor="text1"/>
          <w:sz w:val="32"/>
          <w:szCs w:val="32"/>
        </w:rPr>
        <w:t>课内与课外教学、校内校外育人资源、网上网下育人、理论与实践五个融合，形成</w:t>
      </w:r>
      <w:r>
        <w:rPr>
          <w:rFonts w:ascii="仿宋_GB2312" w:eastAsia="仿宋_GB2312" w:hAnsi="仿宋_GB2312" w:cs="仿宋_GB2312" w:hint="eastAsia"/>
          <w:color w:val="000000" w:themeColor="text1"/>
          <w:sz w:val="32"/>
          <w:szCs w:val="32"/>
        </w:rPr>
        <w:t>科学化、系统化、常态化、制度化、特色化“五化”育人长效机制，凸显新时代高师院校育人特色，一体化构建涵盖课程、科研、实践、文化、网络、心理、管理、服务、资</w:t>
      </w:r>
      <w:r>
        <w:rPr>
          <w:rFonts w:ascii="仿宋_GB2312" w:eastAsia="仿宋_GB2312" w:hAnsi="仿宋_GB2312" w:cs="仿宋_GB2312" w:hint="eastAsia"/>
          <w:color w:val="000000" w:themeColor="text1"/>
          <w:sz w:val="32"/>
          <w:szCs w:val="32"/>
        </w:rPr>
        <w:t>助、组织等领域的“十大”育人体系，努力构建全程、全员、全方位“三全育人”大思政工作格局，着力培养德智体美全面发展的社会主义合格建设者和可靠接班人，将学校建设成为广西“三全育人示范校”，为实现把我校建设成为区域特色鲜明</w:t>
      </w:r>
      <w:r>
        <w:rPr>
          <w:rFonts w:ascii="仿宋_GB2312" w:eastAsia="仿宋_GB2312" w:hAnsi="仿宋_GB2312" w:cs="仿宋_GB2312" w:hint="eastAsia"/>
          <w:color w:val="000000" w:themeColor="text1"/>
          <w:sz w:val="32"/>
          <w:szCs w:val="32"/>
        </w:rPr>
        <w:lastRenderedPageBreak/>
        <w:t>的高水平师范大学目标奠定坚实基础。</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二、建设任务</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学校“三全育人”示范校建设重点围绕立德树人根本任务，统筹实施十大育人质量提升体系建设，通过挖掘育人要素、完善育人机制、优化评价激励、强化实施保障，构建具有高师特色的“三全育人”体系。</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（一）课程育人质量提升体系建设。</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以“课程思政”为目标，突出思</w:t>
      </w:r>
      <w:r>
        <w:rPr>
          <w:rFonts w:ascii="仿宋_GB2312" w:eastAsia="仿宋_GB2312" w:hAnsi="仿宋_GB2312" w:cs="仿宋_GB2312" w:hint="eastAsia"/>
          <w:color w:val="000000" w:themeColor="text1"/>
          <w:sz w:val="32"/>
          <w:szCs w:val="32"/>
        </w:rPr>
        <w:t>政取向的教学内容改革，梳理各门专业课程所蕴含的思想政治教育元素和所承载的思想政治教育功能，融入课堂教学各环节，实现思想政治教育与知识体系教育的有机统一。</w:t>
      </w:r>
    </w:p>
    <w:p w:rsidR="00391E99" w:rsidRDefault="00D4075D">
      <w:pPr>
        <w:spacing w:line="520" w:lineRule="exact"/>
        <w:ind w:firstLineChars="200" w:firstLine="640"/>
        <w:rPr>
          <w:rFonts w:ascii="仿宋_GB2312" w:eastAsia="仿宋_GB2312" w:hAnsi="仿宋_GB2312" w:cs="仿宋_GB2312"/>
          <w:b/>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深入推进习近平新时代中国特色社会主义思想进教材、进课堂、进师生头脑。突出思想政治理论课的核心地位，实施思想政治理论课教学质量提升工程。推动领导干部上讲台开展思想政治教育工作。</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bCs/>
          <w:color w:val="000000" w:themeColor="text1"/>
          <w:sz w:val="32"/>
          <w:szCs w:val="32"/>
        </w:rPr>
        <w:t>2.</w:t>
      </w:r>
      <w:r>
        <w:rPr>
          <w:rFonts w:ascii="仿宋_GB2312" w:eastAsia="仿宋_GB2312" w:hAnsi="仿宋_GB2312" w:cs="仿宋_GB2312" w:hint="eastAsia"/>
          <w:color w:val="000000" w:themeColor="text1"/>
          <w:sz w:val="32"/>
          <w:szCs w:val="32"/>
        </w:rPr>
        <w:t>优化课程设置。构建包含传统思想政治教育课程、教师职业教育课程、哲学社会科学通识教育课程以及文化体验实践活动课程四个模块内容的进阶式思想政治育人课程体系，分类分层推进师范生的思想政治教育。</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完善教学设计。推进以“参与体验”为特征的思想政治理论课课堂教学模式改革，构建课内课外相融合，理论教学、专题讲座、实践活动三位一体教学模式，进一步改进和完善思想政治理论课“三三”制互动教学模式。</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加强教学管理。建立校院两级“课程思政”育人工作运行体制，形成齐抓共管局面。制定课堂教学管理指导意见，明确课堂教学的纪律要求</w:t>
      </w:r>
      <w:r>
        <w:rPr>
          <w:rFonts w:ascii="仿宋_GB2312" w:eastAsia="仿宋_GB2312" w:hAnsi="仿宋_GB2312" w:cs="仿宋_GB2312" w:hint="eastAsia"/>
          <w:color w:val="000000" w:themeColor="text1"/>
          <w:sz w:val="32"/>
          <w:szCs w:val="32"/>
        </w:rPr>
        <w:t>，优化教风学风。坚持问题导向，在全面排查的</w:t>
      </w:r>
      <w:r>
        <w:rPr>
          <w:rFonts w:ascii="仿宋_GB2312" w:eastAsia="仿宋_GB2312" w:hAnsi="仿宋_GB2312" w:cs="仿宋_GB2312" w:hint="eastAsia"/>
          <w:color w:val="000000" w:themeColor="text1"/>
          <w:sz w:val="32"/>
          <w:szCs w:val="32"/>
        </w:rPr>
        <w:lastRenderedPageBreak/>
        <w:t>基础上，制定修订课堂管理制度、校领导和教学督导听课制度、教材及教辅资料审查制度，强化教学检查与监督。</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突出教学特色。打造“课程思政”特色示范课，推进“一专业一课程一特色”建设，抓好陶行知实验班卓越教师教育培养工作，起到以点带面的作用。</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培育教学成果。试点一批“课程思政”教学改革项目，力争培育一批示范教学课件、教学案例、教学资源库，培育一批标志性成果，遴选建设一批“学科育人示范课程”，成立“课程思政研究中心”。</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w:t>
      </w:r>
      <w:r>
        <w:rPr>
          <w:rFonts w:ascii="仿宋_GB2312" w:eastAsia="仿宋_GB2312" w:hAnsi="仿宋_GB2312" w:cs="仿宋_GB2312" w:hint="eastAsia"/>
          <w:color w:val="000000" w:themeColor="text1"/>
          <w:sz w:val="32"/>
          <w:szCs w:val="32"/>
        </w:rPr>
        <w:t>狠抓教学质量。完善课程教学质量评价机制，对课</w:t>
      </w:r>
      <w:r>
        <w:rPr>
          <w:rFonts w:ascii="仿宋_GB2312" w:eastAsia="仿宋_GB2312" w:hAnsi="仿宋_GB2312" w:cs="仿宋_GB2312" w:hint="eastAsia"/>
          <w:color w:val="000000" w:themeColor="text1"/>
          <w:sz w:val="32"/>
          <w:szCs w:val="32"/>
        </w:rPr>
        <w:t>堂教学效果进行综合评价，提升课堂教学水平，发挥我校教师教育优势，抓好各级师生教学技能比赛，以赛促教，提高教学水平，彰显师范特色。</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（责任部门：教务处、组织部、学生工作部（处）、研究生院、实验教学与设备管理中心、马克思主义学院及其他各二级学院）</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（二）科研育人质量提升体系建设。</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发挥科研育人功能，优化科研环节和程序，完善科研评价标准，改进学术评价方法，促进成果转化应用，引导师生树立正确的政治方向、价值取向、学术导向，培养师生至诚报国的理想追求、敢为人先的科学精神、开拓创新的进取意识和严谨求实的科研作风。</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改进科研环节和程序。建立健全科研管理制度，把思想价值引领贯穿科研全过程，把思想政治表现作为组建科研团队的底线要求。完善科研评价标准，改进学术评价方法，构建集教育、预防、监督、惩治于一体的学术诚信体系，在师生中开展学术诚信</w:t>
      </w:r>
      <w:r>
        <w:rPr>
          <w:rFonts w:ascii="仿宋_GB2312" w:eastAsia="仿宋_GB2312" w:hAnsi="仿宋_GB2312" w:cs="仿宋_GB2312" w:hint="eastAsia"/>
          <w:color w:val="000000" w:themeColor="text1"/>
          <w:sz w:val="32"/>
          <w:szCs w:val="32"/>
        </w:rPr>
        <w:lastRenderedPageBreak/>
        <w:t>教育，加强本科生、研究生毕业论文道德规范管理，端正学风，加大对本科生、研究生毕业论文重复率检测普查工作力度，形成学术诚信的浓厚氛围。</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培养师生科学精神和创新意识。开设相关专题学术讲座，培养师生科学精神和创新意识，引导师生积极参与科技创新团队和科研创新训练取得创新成果。及时掌握科技前沿动态</w:t>
      </w:r>
      <w:r>
        <w:rPr>
          <w:rFonts w:ascii="仿宋_GB2312" w:eastAsia="仿宋_GB2312" w:hAnsi="仿宋_GB2312" w:cs="仿宋_GB2312" w:hint="eastAsia"/>
          <w:color w:val="000000" w:themeColor="text1"/>
          <w:sz w:val="32"/>
          <w:szCs w:val="32"/>
        </w:rPr>
        <w:t>，培养集体攻关、联合攻坚的团队精神和协作意识。</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培育科研育人示范项目和团队。加大学术名家、优秀学术团队先进事迹的宣传教育力度。大力培育黄大年式教师团队，培养选树一批科研育人示范项目、示范团队。</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（责任部门：科研管理处、学生工作部（处）、团委、研究生院、各二级学院）</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（三）实践育人质量提升体系建设。</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坚持理论教育与实践养成相结合，整合各类实践资源，强化项目管理，丰富实践内容，创新实践形式，拓展实践平台，完善支持机制，教育引导师生在亲身参与中增强实践能力、树立家国情怀。</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整合实践资源，拓展实践平台。依托各类学校、城市社区、农村乡镇、工厂企业、爱国主义教育场所等，建立多种形式的社会实践、创业实习基地，培育建设一批实践育人与创新创业示范基地。每个专业应至少拥有一个校外实践教学基地。</w:t>
      </w:r>
      <w:r>
        <w:rPr>
          <w:rFonts w:ascii="仿宋_GB2312" w:eastAsia="仿宋_GB2312" w:hAnsi="仿宋_GB2312" w:cs="仿宋_GB2312"/>
          <w:color w:val="000000" w:themeColor="text1"/>
          <w:sz w:val="32"/>
          <w:szCs w:val="32"/>
        </w:rPr>
        <w:t xml:space="preserve"> </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丰富实践内容，创新实践形式。广泛开展社会调查、生产劳动、社会公益、志愿服务、科技发明、勤工助学等社会实践活动，深入开展好大学生暑期“三下乡”“志愿服务西部计划”“百万师生‘一带一路’社会实践专项行动”等新时代社会实践精品项目，组织实施好“校外助理班主任”“助残义务家教”“圆梦童</w:t>
      </w:r>
      <w:r>
        <w:rPr>
          <w:rFonts w:ascii="仿宋_GB2312" w:eastAsia="仿宋_GB2312" w:hAnsi="仿宋_GB2312" w:cs="仿宋_GB2312" w:hint="eastAsia"/>
          <w:color w:val="000000" w:themeColor="text1"/>
          <w:sz w:val="32"/>
          <w:szCs w:val="32"/>
        </w:rPr>
        <w:lastRenderedPageBreak/>
        <w:t>行”关爱留守</w:t>
      </w:r>
      <w:r>
        <w:rPr>
          <w:rFonts w:ascii="仿宋_GB2312" w:eastAsia="仿宋_GB2312" w:hAnsi="仿宋_GB2312" w:cs="仿宋_GB2312" w:hint="eastAsia"/>
          <w:color w:val="000000" w:themeColor="text1"/>
          <w:sz w:val="32"/>
          <w:szCs w:val="32"/>
        </w:rPr>
        <w:t>儿童大行动、中小学环教课等新时代具有高校师范特色的精品实践项目。凝炼“一院一品牌，一社一特色”实践活动，每个二级学院和校级社团结合专业、社团自身文化培育出一个品牌特色活动项目。努力实现在校生志愿者服务注册率</w:t>
      </w:r>
      <w:r>
        <w:rPr>
          <w:rFonts w:ascii="仿宋_GB2312" w:eastAsia="仿宋_GB2312" w:hAnsi="仿宋_GB2312" w:cs="仿宋_GB2312" w:hint="eastAsia"/>
          <w:color w:val="000000" w:themeColor="text1"/>
          <w:sz w:val="32"/>
          <w:szCs w:val="32"/>
        </w:rPr>
        <w:t>100%</w:t>
      </w:r>
      <w:r>
        <w:rPr>
          <w:rFonts w:ascii="仿宋_GB2312" w:eastAsia="仿宋_GB2312" w:hAnsi="仿宋_GB2312" w:cs="仿宋_GB2312" w:hint="eastAsia"/>
          <w:color w:val="000000" w:themeColor="text1"/>
          <w:sz w:val="32"/>
          <w:szCs w:val="32"/>
        </w:rPr>
        <w:t>全覆盖，探索开展师生志愿服务评价认证。</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完善实践育人机制体制。建立健全《广西师范学院大学生创新实践学分管理办法》《大学生创新创业训练计划项目实施办法》等制度。加强创新创业教育，组织实施大学生创新创业训练计划校级、自治区级和国家级项目。</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深入推进实践教学改革。分类制订实践教学标准，适度增加实</w:t>
      </w:r>
      <w:r>
        <w:rPr>
          <w:rFonts w:ascii="仿宋_GB2312" w:eastAsia="仿宋_GB2312" w:hAnsi="仿宋_GB2312" w:cs="仿宋_GB2312" w:hint="eastAsia"/>
          <w:color w:val="000000" w:themeColor="text1"/>
          <w:sz w:val="32"/>
          <w:szCs w:val="32"/>
        </w:rPr>
        <w:t>践教学比重，原则上哲学社会科学类专业实践教学不少于总学分（学时）的</w:t>
      </w:r>
      <w:r>
        <w:rPr>
          <w:rFonts w:ascii="仿宋_GB2312" w:eastAsia="仿宋_GB2312" w:hAnsi="仿宋_GB2312" w:cs="仿宋_GB2312" w:hint="eastAsia"/>
          <w:color w:val="000000" w:themeColor="text1"/>
          <w:sz w:val="32"/>
          <w:szCs w:val="32"/>
        </w:rPr>
        <w:t>15%</w:t>
      </w:r>
      <w:r>
        <w:rPr>
          <w:rFonts w:ascii="仿宋_GB2312" w:eastAsia="仿宋_GB2312" w:hAnsi="仿宋_GB2312" w:cs="仿宋_GB2312" w:hint="eastAsia"/>
          <w:color w:val="000000" w:themeColor="text1"/>
          <w:sz w:val="32"/>
          <w:szCs w:val="32"/>
        </w:rPr>
        <w:t>，理工类专业不少于</w:t>
      </w:r>
      <w:r>
        <w:rPr>
          <w:rFonts w:ascii="仿宋_GB2312" w:eastAsia="仿宋_GB2312" w:hAnsi="仿宋_GB2312" w:cs="仿宋_GB2312" w:hint="eastAsia"/>
          <w:color w:val="000000" w:themeColor="text1"/>
          <w:sz w:val="32"/>
          <w:szCs w:val="32"/>
        </w:rPr>
        <w:t>25%</w:t>
      </w:r>
      <w:r>
        <w:rPr>
          <w:rFonts w:ascii="仿宋_GB2312" w:eastAsia="仿宋_GB2312" w:hAnsi="仿宋_GB2312" w:cs="仿宋_GB2312" w:hint="eastAsia"/>
          <w:color w:val="000000" w:themeColor="text1"/>
          <w:sz w:val="32"/>
          <w:szCs w:val="32"/>
        </w:rPr>
        <w:t>。扎实推进专业实习实训等专业实践工作，进一步拓宽学生校外实习实训、就业渠道。</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推出优秀实践教学成果。通过实践教学培养学生创新创业意识和能力，引导和鼓励学生取得专利、软件著作权、调研报告等实践教学成果。</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（责任部门：团委、学生工作部（处）、教务处、研究生院、招生就业处、实验教学与设备管理中心、各二级学院）</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（四）文化育人质量提升体系建设。</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以文化人，以文育人，开展社会主义核心价值观主题教育活动，深入开展新时代中</w:t>
      </w:r>
      <w:r>
        <w:rPr>
          <w:rFonts w:ascii="仿宋_GB2312" w:eastAsia="仿宋_GB2312" w:hAnsi="仿宋_GB2312" w:cs="仿宋_GB2312" w:hint="eastAsia"/>
          <w:color w:val="000000" w:themeColor="text1"/>
          <w:sz w:val="32"/>
          <w:szCs w:val="32"/>
        </w:rPr>
        <w:t>国特色社会主义思想、中华优秀传统文化、革命文化、教师教育文化、民族文化等教育活动。</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深入学习贯彻习近平新时代中国特色社会主义思想和十九大精神。依托知行大讲堂、马克思主义大众化讲坛、马克思主义新闻观大讲堂等平台，进一步加强习近平新时代中国特色社会主义思想和十九大精神宣讲。</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2.</w:t>
      </w:r>
      <w:r>
        <w:rPr>
          <w:rFonts w:ascii="仿宋_GB2312" w:eastAsia="仿宋_GB2312" w:hAnsi="仿宋_GB2312" w:cs="仿宋_GB2312" w:hint="eastAsia"/>
          <w:color w:val="000000" w:themeColor="text1"/>
          <w:sz w:val="32"/>
          <w:szCs w:val="32"/>
        </w:rPr>
        <w:t>推进中华优秀传统文化教育。打造“国学讲堂”“中华经典诵读”“经典咏流传”“中国诗词大会”“汉字听写大赛”“戏曲进校园”等传统文化品牌活动。</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加强革命文化教育。挖掘革命文化的育人内涵，实施“革命文化教育资源库建设工程”，开展“传承红色基因、担当复兴重任”主题教育活动，组织编排展演一批以革命先驱为原型的舞台剧、以革命精神为主题的歌舞音乐、以革命文化为内涵的网络作品；有效利用重大纪念日契机和重点文化基础设施开展革命文化教育。</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弘扬和践行社会主义核心价值观。开展社会主义先进文化教育，开展师生社会主义核心价值观主题教育活动，推广展示一批社会主义核心价值观教育典型案例，选树宣传一批践行社会主义核心价值观先进典型。</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打造具有教师教育特色的文化品牌</w:t>
      </w:r>
      <w:r>
        <w:rPr>
          <w:rFonts w:ascii="仿宋_GB2312" w:eastAsia="仿宋_GB2312" w:hAnsi="仿宋_GB2312" w:cs="仿宋_GB2312" w:hint="eastAsia"/>
          <w:color w:val="000000" w:themeColor="text1"/>
          <w:sz w:val="32"/>
          <w:szCs w:val="32"/>
        </w:rPr>
        <w:t>活动。加强师德师风建设，组建师德师风宣讲团，开设“师德论坛”，选树“最美师院人”先进典型，制作师德典型人物微视频，建设校园师德文化景观。通过举办“师范生技能大赛”“课件大赛”“说课大赛”“课本剧大赛”“三笔一画”大赛等系列师范特色活动，进一步加强师范生技能与师德养成教育。</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创建中华优秀传统技艺体验中心。建设民族器乐、扎染、坭兴陶、篆刻、茶艺等</w:t>
      </w:r>
      <w:r>
        <w:rPr>
          <w:rFonts w:ascii="仿宋_GB2312" w:eastAsia="仿宋_GB2312" w:hAnsi="仿宋_GB2312" w:cs="仿宋_GB2312" w:hint="eastAsia"/>
          <w:color w:val="000000" w:themeColor="text1"/>
          <w:sz w:val="32"/>
          <w:szCs w:val="32"/>
        </w:rPr>
        <w:t>5-6</w:t>
      </w:r>
      <w:r>
        <w:rPr>
          <w:rFonts w:ascii="仿宋_GB2312" w:eastAsia="仿宋_GB2312" w:hAnsi="仿宋_GB2312" w:cs="仿宋_GB2312" w:hint="eastAsia"/>
          <w:color w:val="000000" w:themeColor="text1"/>
          <w:sz w:val="32"/>
          <w:szCs w:val="32"/>
        </w:rPr>
        <w:t>个工作坊，集习艺、鉴赏、展示、创作为一体，培育一批创新创业团队，形成一批富有民族文化特色的优秀成果，引导师生了解、参与、传承非物质文化和民族民间优秀文化。</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推进校园文化育人。大力繁荣校园文化，推进“一院一品牌”校园文化建设，引导建设特色校园文化，培育推选</w:t>
      </w:r>
      <w:r>
        <w:rPr>
          <w:rFonts w:ascii="仿宋_GB2312" w:eastAsia="仿宋_GB2312" w:hAnsi="仿宋_GB2312" w:cs="仿宋_GB2312" w:hint="eastAsia"/>
          <w:color w:val="000000" w:themeColor="text1"/>
          <w:sz w:val="32"/>
          <w:szCs w:val="32"/>
        </w:rPr>
        <w:t>5-10</w:t>
      </w:r>
      <w:r>
        <w:rPr>
          <w:rFonts w:ascii="仿宋_GB2312" w:eastAsia="仿宋_GB2312" w:hAnsi="仿宋_GB2312" w:cs="仿宋_GB2312" w:hint="eastAsia"/>
          <w:color w:val="000000" w:themeColor="text1"/>
          <w:sz w:val="32"/>
          <w:szCs w:val="32"/>
        </w:rPr>
        <w:t>个校园文</w:t>
      </w:r>
      <w:r>
        <w:rPr>
          <w:rFonts w:ascii="仿宋_GB2312" w:eastAsia="仿宋_GB2312" w:hAnsi="仿宋_GB2312" w:cs="仿宋_GB2312" w:hint="eastAsia"/>
          <w:color w:val="000000" w:themeColor="text1"/>
          <w:sz w:val="32"/>
          <w:szCs w:val="32"/>
        </w:rPr>
        <w:lastRenderedPageBreak/>
        <w:t>化建设优秀成果，出版</w:t>
      </w:r>
      <w:r>
        <w:rPr>
          <w:rFonts w:ascii="仿宋_GB2312" w:eastAsia="仿宋_GB2312" w:hAnsi="仿宋_GB2312" w:cs="仿宋_GB2312" w:hint="eastAsia"/>
          <w:color w:val="000000" w:themeColor="text1"/>
          <w:sz w:val="32"/>
          <w:szCs w:val="32"/>
        </w:rPr>
        <w:t>1-2</w:t>
      </w:r>
      <w:r>
        <w:rPr>
          <w:rFonts w:ascii="仿宋_GB2312" w:eastAsia="仿宋_GB2312" w:hAnsi="仿宋_GB2312" w:cs="仿宋_GB2312" w:hint="eastAsia"/>
          <w:color w:val="000000" w:themeColor="text1"/>
          <w:sz w:val="32"/>
          <w:szCs w:val="32"/>
        </w:rPr>
        <w:t>部文化成果书籍。</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8.</w:t>
      </w:r>
      <w:r>
        <w:rPr>
          <w:rFonts w:ascii="仿宋_GB2312" w:eastAsia="仿宋_GB2312" w:hAnsi="仿宋_GB2312" w:cs="仿宋_GB2312" w:hint="eastAsia"/>
          <w:color w:val="000000" w:themeColor="text1"/>
          <w:sz w:val="32"/>
          <w:szCs w:val="32"/>
        </w:rPr>
        <w:t>积极开展文明校园创建，以参加评选“全区、全国文明校园”创建活动为契机，把学校建设成为社会主义精神文明高地。</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责任部门：宣传部、党校办、学生工作部（处）、保卫处、工会、团委、人事处（教师工作部）、后勤处、实验教学与设备管理中心、马克思主义学院、新闻与传播学院、美术设计学院、音乐舞蹈学院、旅游学院及其他各二级学院）</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（五）网络育人质量提升体系建设。</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充分利用“互联网</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”思维开展</w:t>
      </w:r>
      <w:r>
        <w:rPr>
          <w:rFonts w:ascii="方正小标宋_GBK" w:eastAsia="方正小标宋_GBK" w:hAnsi="方正小标宋_GBK" w:cs="方正小标宋_GBK" w:hint="eastAsia"/>
          <w:bCs/>
          <w:color w:val="000000" w:themeColor="text1"/>
          <w:kern w:val="0"/>
          <w:sz w:val="36"/>
          <w:szCs w:val="36"/>
          <w:shd w:val="clear" w:color="auto" w:fill="FFFFFF"/>
          <w:lang w:bidi="ar"/>
        </w:rPr>
        <w:t>“</w:t>
      </w:r>
      <w:r>
        <w:rPr>
          <w:rFonts w:ascii="仿宋_GB2312" w:eastAsia="仿宋_GB2312" w:hAnsi="仿宋_GB2312" w:cs="仿宋_GB2312" w:hint="eastAsia"/>
          <w:color w:val="000000" w:themeColor="text1"/>
          <w:sz w:val="32"/>
          <w:szCs w:val="32"/>
        </w:rPr>
        <w:t>三全育人”工作，创新推动网络育人。</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加强工作统筹，加快智慧校园建设。扎实推进校园网、官方微信、新媒体文创中心、思政网络育人平台、易班工作站、桂师青年圈、在线教育综合平台、网络电视台等八大平台建设，加强高校思想政治工作信息管理系统共建与资源互享，发挥平台作用，引领建设校园网络新媒体矩阵。</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强化网络意识，提高建网用网管网能力。加强师生网络素养教育，编制《大学生网络素养指南》，引导师生增强网络安全意识，遵守网络行为规范，养成文明网络生活方式。</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创新网络育人形式，丰富网络育人内容。开展大学生网络文化节、网络育人优秀作品推选展示、二级网站建设评比等网络文化建设活动。依托“新媒体文创中心”，创作一批具有传统文化、师德文化、民族文化、廉政文化特色的优秀网络原创作品，推进社会主义核心价值观大众化。加强学校易班网建设，开展易班之星、易班最美宿舍、超级易班学院评选，举办易班有约、易班排名、易班网络文化节等活动，使易班网成为推进大学生思想政治教育的网络主阵地。</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4.</w:t>
      </w:r>
      <w:r>
        <w:rPr>
          <w:rFonts w:ascii="仿宋_GB2312" w:eastAsia="仿宋_GB2312" w:hAnsi="仿宋_GB2312" w:cs="仿宋_GB2312" w:hint="eastAsia"/>
          <w:color w:val="000000" w:themeColor="text1"/>
          <w:sz w:val="32"/>
          <w:szCs w:val="32"/>
        </w:rPr>
        <w:t>培养网络力量，建立网络育人队伍。建立宣传干部、计算机网络技术专业教师、思想政治理论课教师、辅导</w:t>
      </w:r>
      <w:r>
        <w:rPr>
          <w:rFonts w:ascii="仿宋_GB2312" w:eastAsia="仿宋_GB2312" w:hAnsi="仿宋_GB2312" w:cs="仿宋_GB2312" w:hint="eastAsia"/>
          <w:color w:val="000000" w:themeColor="text1"/>
          <w:sz w:val="32"/>
          <w:szCs w:val="32"/>
        </w:rPr>
        <w:t>员和学生骨干组成的网络育人队伍，通过加强网络育人队伍培训，实施网络育人名师培育计划，开展评优评先等活动，建设一支政治强、业务精、作风硬的网络工作队伍。</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（责任部门：宣传部、学生工作部（处）、团委、教务处、研究生院、网络信息中心、各二级学院）</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（六）心理育人质量提升体系建设。</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坚持育心与育德相结合，加强人文关怀和心理疏导，帮助学生树立科学的世界观、人生观、价值观，促进学生全面发展。</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加强心理健康知识教育与宣传。加强知识教育，把心理健康教育课程纳入学校整体教学计划，开设心理健康课程，实现心理健康知识教育全覆盖。开展宣传教育活动，举办大学生心理健康节、“心海护航工程”“成长体验”等主题活动，充分利用网络、广播、微信公众号、</w:t>
      </w:r>
      <w:r>
        <w:rPr>
          <w:rFonts w:ascii="仿宋_GB2312" w:eastAsia="仿宋_GB2312" w:hAnsi="仿宋_GB2312" w:cs="仿宋_GB2312" w:hint="eastAsia"/>
          <w:color w:val="000000" w:themeColor="text1"/>
          <w:sz w:val="32"/>
          <w:szCs w:val="32"/>
        </w:rPr>
        <w:t>APP</w:t>
      </w:r>
      <w:r>
        <w:rPr>
          <w:rFonts w:ascii="仿宋_GB2312" w:eastAsia="仿宋_GB2312" w:hAnsi="仿宋_GB2312" w:cs="仿宋_GB2312" w:hint="eastAsia"/>
          <w:color w:val="000000" w:themeColor="text1"/>
          <w:sz w:val="32"/>
          <w:szCs w:val="32"/>
        </w:rPr>
        <w:t>等媒体，营造心理健康教育良好氛围，提高师生心理保健能力。</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强化咨询服务与预防干预。配够配强心理健康教育专兼职教师，提高心理健康教育咨询与服务中心建设水平。加强预防干预，推广应用《中国大学生心理健康筛查量表》、“中国大学生心理健康网络测评系统”，提高心理健康素</w:t>
      </w:r>
      <w:r>
        <w:rPr>
          <w:rFonts w:ascii="仿宋_GB2312" w:eastAsia="仿宋_GB2312" w:hAnsi="仿宋_GB2312" w:cs="仿宋_GB2312" w:hint="eastAsia"/>
          <w:color w:val="000000" w:themeColor="text1"/>
          <w:sz w:val="32"/>
          <w:szCs w:val="32"/>
        </w:rPr>
        <w:t>质测评覆盖面和科学性；建立学校、院系、班级、宿舍“四级”预警防控体系，完善心理危机干预工作预案，健全转介诊疗机制，提升工作前瞻性、针对性。</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完善工作保障。研制学校师生心理健康教育指导意见，保证生均经费投入和心理咨询辅导专用场地面积，建设心理健康教育素质拓展培养基地。</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lastRenderedPageBreak/>
        <w:t>（责任部门：学生工作部（处）、教务处、研究生院、教育科学学院及其他各二级学院）</w:t>
      </w:r>
      <w:r>
        <w:rPr>
          <w:rFonts w:ascii="仿宋_GB2312" w:eastAsia="仿宋_GB2312" w:hAnsi="仿宋_GB2312" w:cs="仿宋_GB2312" w:hint="eastAsia"/>
          <w:b/>
          <w:bCs/>
          <w:color w:val="000000" w:themeColor="text1"/>
          <w:sz w:val="32"/>
          <w:szCs w:val="32"/>
        </w:rPr>
        <w:br/>
        <w:t xml:space="preserve">    </w:t>
      </w:r>
      <w:r>
        <w:rPr>
          <w:rFonts w:ascii="仿宋_GB2312" w:eastAsia="仿宋_GB2312" w:hAnsi="仿宋_GB2312" w:cs="仿宋_GB2312" w:hint="eastAsia"/>
          <w:b/>
          <w:bCs/>
          <w:color w:val="000000" w:themeColor="text1"/>
          <w:sz w:val="32"/>
          <w:szCs w:val="32"/>
        </w:rPr>
        <w:t>（七）管理育人质量提升体系建设。</w:t>
      </w:r>
    </w:p>
    <w:p w:rsidR="00391E99" w:rsidRDefault="00D4075D">
      <w:pPr>
        <w:spacing w:line="520" w:lineRule="exact"/>
        <w:ind w:firstLineChars="200" w:firstLine="640"/>
        <w:rPr>
          <w:rFonts w:ascii="仿宋_GB2312" w:eastAsia="仿宋_GB2312" w:hAnsi="仿宋_GB2312" w:cs="仿宋_GB2312"/>
          <w:bCs/>
          <w:color w:val="000000" w:themeColor="text1"/>
          <w:sz w:val="32"/>
          <w:szCs w:val="32"/>
        </w:rPr>
      </w:pPr>
      <w:r>
        <w:rPr>
          <w:rFonts w:ascii="仿宋_GB2312" w:eastAsia="仿宋_GB2312" w:hAnsi="仿宋_GB2312" w:cs="仿宋_GB2312" w:hint="eastAsia"/>
          <w:bCs/>
          <w:color w:val="000000" w:themeColor="text1"/>
          <w:sz w:val="32"/>
          <w:szCs w:val="32"/>
        </w:rPr>
        <w:t>把规范管理的严格要求和春风化雨、润物无声的教育方式结合起来，完善学校章程、校规校纪，健全自律公约，加强法治教育，全面推</w:t>
      </w:r>
      <w:r>
        <w:rPr>
          <w:rFonts w:ascii="仿宋_GB2312" w:eastAsia="仿宋_GB2312" w:hAnsi="仿宋_GB2312" w:cs="仿宋_GB2312" w:hint="eastAsia"/>
          <w:bCs/>
          <w:color w:val="000000" w:themeColor="text1"/>
          <w:sz w:val="32"/>
          <w:szCs w:val="32"/>
        </w:rPr>
        <w:t>进依法治教，促进教育治理能力和治理体系现代化，强化科学管理对道德涵育的保障功能，大力营造治理有方、管理到位、风清气正的育人环境。</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健全依法治校、管理育人制度体系。结合学校章程、校规校纪、自律公约修订完善，挖掘学校各管理岗位的育人元素，编制岗位说明书。理顺“三全育人”各相关部门的工作关系，明确各职能部门各类相关人员的工作职责。</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加强干部和教师队伍管理。选好配强各级领导干部和领导班子，制定管理干部培训计划，提高各类管理干部育人能力。加强教师队伍管理，严把教师聘用、人才引进政治考核关，依法依规加大对各类违反师德和学术不端行为的查处力度，及时纠正不良倾向和问题，加强优秀教师的选树宣传，建立健全教师培养、发展机制。</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强化保障功能。健全依法治校评价指标体系，深入开展广西师范学院“依法治校示范校”创建活动。制订实施师德师风考核实施有关细则，把育人功能发挥纳入管理岗位考核评价范围，作为评奖评优条件。培育一批“管理育人示范岗”，通过评选“</w:t>
      </w:r>
      <w:r>
        <w:rPr>
          <w:rFonts w:ascii="仿宋_GB2312" w:eastAsia="仿宋_GB2312" w:hAnsi="仿宋_GB2312" w:cs="仿宋_GB2312" w:hint="eastAsia"/>
          <w:color w:val="000000" w:themeColor="text1"/>
          <w:sz w:val="32"/>
          <w:szCs w:val="32"/>
        </w:rPr>
        <w:t>广西师范学院‘三育人’先进集体和个人”“优秀辅导员、班主任”等活动，引导管理干部用良好的管理模式和管理行为影响和培养学生。</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（责任部门：党校办、组织部、宣传部、学生工作部（处）、</w:t>
      </w:r>
      <w:r>
        <w:rPr>
          <w:rFonts w:ascii="仿宋_GB2312" w:eastAsia="仿宋_GB2312" w:hAnsi="仿宋_GB2312" w:cs="仿宋_GB2312" w:hint="eastAsia"/>
          <w:b/>
          <w:bCs/>
          <w:color w:val="000000" w:themeColor="text1"/>
          <w:sz w:val="32"/>
          <w:szCs w:val="32"/>
        </w:rPr>
        <w:lastRenderedPageBreak/>
        <w:t>工会、发展规划处、人事处（教师工作部）、研究生院、各二级学院）</w:t>
      </w:r>
      <w:r>
        <w:rPr>
          <w:rFonts w:ascii="仿宋_GB2312" w:eastAsia="仿宋_GB2312" w:hAnsi="仿宋_GB2312" w:cs="仿宋_GB2312" w:hint="eastAsia"/>
          <w:b/>
          <w:bCs/>
          <w:color w:val="000000" w:themeColor="text1"/>
          <w:sz w:val="32"/>
          <w:szCs w:val="32"/>
        </w:rPr>
        <w:br/>
        <w:t xml:space="preserve">    </w:t>
      </w:r>
      <w:r>
        <w:rPr>
          <w:rFonts w:ascii="仿宋_GB2312" w:eastAsia="仿宋_GB2312" w:hAnsi="仿宋_GB2312" w:cs="仿宋_GB2312" w:hint="eastAsia"/>
          <w:b/>
          <w:bCs/>
          <w:color w:val="000000" w:themeColor="text1"/>
          <w:sz w:val="32"/>
          <w:szCs w:val="32"/>
        </w:rPr>
        <w:t>（八）服务育人质量提升体系建设。</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把解决实际问题与解决思想问题结合起来，围绕师生、关照师生、服务师生，把握师生成长发展需要，提供靶向服务，增强供给能力，积极帮助解决师生工作学习中的合理诉求，在关心人、帮助人、服务人中教育人、引导人。</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强化服务育人要求。研究梳</w:t>
      </w:r>
      <w:r>
        <w:rPr>
          <w:rFonts w:ascii="仿宋_GB2312" w:eastAsia="仿宋_GB2312" w:hAnsi="仿宋_GB2312" w:cs="仿宋_GB2312" w:hint="eastAsia"/>
          <w:color w:val="000000" w:themeColor="text1"/>
          <w:sz w:val="32"/>
          <w:szCs w:val="32"/>
        </w:rPr>
        <w:t>理各类服务岗位所承载的育人功能，并作为工作的职责要求，体现在聘用、培训、考核等各环节。</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明确重点环节的育人职能。在后勤保障服务中，持续开展“节粮节水节电”“节能减排宣传周”等主题教育活动，建设具有高等师范特色的美好绿色校园，营造充满蓬勃生机、和谐美好的校园文化。实施后勤员工素质提升计划，切实提高后勤保障水平和服务育人能力。在医疗卫生服务中，制订健康教育教学计划，做好师生的医疗和保健工作，开展传染病预防、安全应急与急救等专题健康教育活动，培养师生公共卫生意识和卫生行为习惯。在图书资料服务中，完善文献信息资</w:t>
      </w:r>
      <w:r>
        <w:rPr>
          <w:rFonts w:ascii="仿宋_GB2312" w:eastAsia="仿宋_GB2312" w:hAnsi="仿宋_GB2312" w:cs="仿宋_GB2312" w:hint="eastAsia"/>
          <w:color w:val="000000" w:themeColor="text1"/>
          <w:sz w:val="32"/>
          <w:szCs w:val="32"/>
        </w:rPr>
        <w:t>源体系和服务体系，优化服务和环境空间，注重用户体验，提高馆藏利用率和服务效率，开展信息素质教育，引导师生尊重和保护知识产权，维护信息安全。在安全保卫服务中，健全各项安保制度，加强人防物防技防建设，结合安全生产月、防灾减灾日、</w:t>
      </w:r>
      <w:r>
        <w:rPr>
          <w:rFonts w:ascii="仿宋_GB2312" w:eastAsia="仿宋_GB2312" w:hAnsi="仿宋_GB2312" w:cs="仿宋_GB2312" w:hint="eastAsia"/>
          <w:color w:val="000000" w:themeColor="text1"/>
          <w:sz w:val="32"/>
          <w:szCs w:val="32"/>
        </w:rPr>
        <w:t>119</w:t>
      </w:r>
      <w:r>
        <w:rPr>
          <w:rFonts w:ascii="仿宋_GB2312" w:eastAsia="仿宋_GB2312" w:hAnsi="仿宋_GB2312" w:cs="仿宋_GB2312" w:hint="eastAsia"/>
          <w:color w:val="000000" w:themeColor="text1"/>
          <w:sz w:val="32"/>
          <w:szCs w:val="32"/>
        </w:rPr>
        <w:t>消防宣传日、交通宣传日、国家安全日开展形式多样的安全教育，提高安保效能，培养师生安全意识和法制观念。增强供给能力，建设智慧校园综合信息服务系统，充分满足师生学习、生活、工作中的合理需求。</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加强监督考核，落实服务目标责任制，把服务质量和育人效果作为评价服务岗位效能的依据和标准。选</w:t>
      </w:r>
      <w:r>
        <w:rPr>
          <w:rFonts w:ascii="仿宋_GB2312" w:eastAsia="仿宋_GB2312" w:hAnsi="仿宋_GB2312" w:cs="仿宋_GB2312" w:hint="eastAsia"/>
          <w:color w:val="000000" w:themeColor="text1"/>
          <w:sz w:val="32"/>
          <w:szCs w:val="32"/>
        </w:rPr>
        <w:t>树一批服务育人先进</w:t>
      </w:r>
      <w:r>
        <w:rPr>
          <w:rFonts w:ascii="仿宋_GB2312" w:eastAsia="仿宋_GB2312" w:hAnsi="仿宋_GB2312" w:cs="仿宋_GB2312" w:hint="eastAsia"/>
          <w:color w:val="000000" w:themeColor="text1"/>
          <w:sz w:val="32"/>
          <w:szCs w:val="32"/>
        </w:rPr>
        <w:lastRenderedPageBreak/>
        <w:t>典型模范，培育一批学校“服务育人示范岗”。</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（责任部门：后勤处、保卫处、网络信息中心、图书馆、各二级学院）</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（九）资助育人质量提升体系建设。</w:t>
      </w:r>
    </w:p>
    <w:p w:rsidR="00391E99" w:rsidRDefault="00D4075D">
      <w:pPr>
        <w:spacing w:line="520" w:lineRule="exact"/>
        <w:ind w:firstLineChars="200" w:firstLine="640"/>
        <w:rPr>
          <w:rFonts w:ascii="仿宋_GB2312" w:eastAsia="仿宋_GB2312" w:hAnsi="仿宋_GB2312" w:cs="仿宋_GB2312"/>
          <w:bCs/>
          <w:color w:val="000000" w:themeColor="text1"/>
          <w:sz w:val="32"/>
          <w:szCs w:val="32"/>
        </w:rPr>
      </w:pPr>
      <w:r>
        <w:rPr>
          <w:rFonts w:ascii="仿宋_GB2312" w:eastAsia="仿宋_GB2312" w:hAnsi="仿宋_GB2312" w:cs="仿宋_GB2312" w:hint="eastAsia"/>
          <w:bCs/>
          <w:color w:val="000000" w:themeColor="text1"/>
          <w:sz w:val="32"/>
          <w:szCs w:val="32"/>
        </w:rPr>
        <w:t>把“扶困”与“扶智”和“扶志”结合起来，建立国家资助、学校奖助、社会捐助、学生自助“四位一体”的发展型资助体系，构建物质帮助、道德浸润、能力拓展、精神激励有效融合的资助育人长效机制，实现无偿资助与有偿资助、显性资助与隐性资助的有机融合，形成“解困—育人—成才—回馈”的良性循环，着力培养受助学生自立自强、诚实守信、知恩感恩、勇于担当的良好品质。</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健全资助管理政策体系。建立健全“奖、助、贷、勤、补、缓”“六位一体”精准资助体系，修订完善《国家奖学金评审办法》《国家助学金评审办法》等文件。精准认定家庭经济困难学生，健全四级资助认定工作机制和班级、学院、学校三级评审的“三评审两公示”工作机制，通过家访、大数据分析和谈心谈话等方式，合理确定认定标准，建立家庭经济困难学生档案，实施动态管理。</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坚持资助育人导向。在奖学金评选发放环节，全面考察学生的学习成绩、创新发展、社会实践及道德品质等方面的综合表现，培养学生奋斗精神和感恩意识。在国家助学金申请发放环</w:t>
      </w:r>
      <w:r>
        <w:rPr>
          <w:rFonts w:ascii="仿宋_GB2312" w:eastAsia="仿宋_GB2312" w:hAnsi="仿宋_GB2312" w:cs="仿宋_GB2312" w:hint="eastAsia"/>
          <w:color w:val="000000" w:themeColor="text1"/>
          <w:sz w:val="32"/>
          <w:szCs w:val="32"/>
        </w:rPr>
        <w:t>节，深入开展励志教育和感恩教育，培养学生爱党爱国爱社会主义意识。在国家助学贷款办理过程中，深入开展诚信教育和金融常识教育，培养学生法律意识、风险防范意识和契约精神。在勤工助学活动开展环节，着力培养学生自强不息、创新创业的进取精神。在基层就业、应征入伍学费补偿、贷款代偿等工作环节中，培育学生</w:t>
      </w:r>
      <w:r>
        <w:rPr>
          <w:rFonts w:ascii="仿宋_GB2312" w:eastAsia="仿宋_GB2312" w:hAnsi="仿宋_GB2312" w:cs="仿宋_GB2312" w:hint="eastAsia"/>
          <w:color w:val="000000" w:themeColor="text1"/>
          <w:sz w:val="32"/>
          <w:szCs w:val="32"/>
        </w:rPr>
        <w:lastRenderedPageBreak/>
        <w:t>树立正确的成才观和就业观。构建“一个电话、一个联系人、一封家书、一次家访、一次教育培训”等“五个一”资助育人工作模式，增强资助育人工作的针对性和实效性，形成家校协同育人合力。</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创新资助育人形式。制定实施《家庭经济困难学</w:t>
      </w:r>
      <w:r>
        <w:rPr>
          <w:rFonts w:ascii="仿宋_GB2312" w:eastAsia="仿宋_GB2312" w:hAnsi="仿宋_GB2312" w:cs="仿宋_GB2312" w:hint="eastAsia"/>
          <w:color w:val="000000" w:themeColor="text1"/>
          <w:sz w:val="32"/>
          <w:szCs w:val="32"/>
        </w:rPr>
        <w:t>生能力提升培训工程实施方案》和“发展型资助的育人行动计划”，提高家庭经济困难学生能力素养，开展“助学·筑梦·铸人”“诚信校园行”等主题教育活动，组织国家奖学金、励志奖学金获奖学生担任“学生资助宣传大使”。培育建设一批“发展型资助的育人示范项目”，推选展示资助育人优秀案例和先进人物。</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（责任部门：学生工作部（处）、学生资助管理中心、研究生院、各二级学院）</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（十）组织育人质量提升体系建设。</w:t>
      </w:r>
    </w:p>
    <w:p w:rsidR="00391E99" w:rsidRDefault="00D4075D">
      <w:pPr>
        <w:spacing w:line="520" w:lineRule="exact"/>
        <w:ind w:firstLineChars="200" w:firstLine="640"/>
        <w:rPr>
          <w:rFonts w:ascii="仿宋_GB2312" w:eastAsia="仿宋_GB2312" w:hAnsi="仿宋_GB2312" w:cs="仿宋_GB2312"/>
          <w:bCs/>
          <w:color w:val="000000" w:themeColor="text1"/>
          <w:sz w:val="32"/>
          <w:szCs w:val="32"/>
        </w:rPr>
      </w:pPr>
      <w:r>
        <w:rPr>
          <w:rFonts w:ascii="仿宋_GB2312" w:eastAsia="仿宋_GB2312" w:hAnsi="仿宋_GB2312" w:cs="仿宋_GB2312" w:hint="eastAsia"/>
          <w:bCs/>
          <w:color w:val="000000" w:themeColor="text1"/>
          <w:sz w:val="32"/>
          <w:szCs w:val="32"/>
        </w:rPr>
        <w:t>把组织建设与教育引领结合起来，强化学校各类组织的育人职责，增强工作活力，促进工作创新，扩大工作覆盖范围，提高辐射能力，发挥</w:t>
      </w:r>
      <w:r>
        <w:rPr>
          <w:rFonts w:ascii="仿宋_GB2312" w:eastAsia="仿宋_GB2312" w:hAnsi="仿宋_GB2312" w:cs="仿宋_GB2312" w:hint="eastAsia"/>
          <w:bCs/>
          <w:color w:val="000000" w:themeColor="text1"/>
          <w:sz w:val="32"/>
          <w:szCs w:val="32"/>
        </w:rPr>
        <w:t>学校党委领导核心作用、院（系）党组织政治核心作用和基层党支部战斗堡垒作用，发挥工会、共青团、学生会、学生社团等组织联系服务、团结凝聚师生的桥梁纽带作用，把思想政治教育贯穿各项工作和活动，促进师生全面发展。</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发挥各级党组织的育人保障功能。进一步理顺学校党委的领导体制机制，明确学校党委职责和决策机制，健全和完善高校党委领导下的校长负责制，推动学校各级党组织自觉担负起管党治党、办学治校、育人育才的主体责任。</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完善党建工作考核测评体系。完善学校党委对二层机构党组织书记进行述职考评和二层机构党组织对所属党支部</w:t>
      </w:r>
      <w:r>
        <w:rPr>
          <w:rFonts w:ascii="仿宋_GB2312" w:eastAsia="仿宋_GB2312" w:hAnsi="仿宋_GB2312" w:cs="仿宋_GB2312" w:hint="eastAsia"/>
          <w:color w:val="000000" w:themeColor="text1"/>
          <w:sz w:val="32"/>
          <w:szCs w:val="32"/>
        </w:rPr>
        <w:t>进行述职考评的工作机制。加强宏观指导和统筹安排，实施中层干部和辅导</w:t>
      </w:r>
      <w:r>
        <w:rPr>
          <w:rFonts w:ascii="仿宋_GB2312" w:eastAsia="仿宋_GB2312" w:hAnsi="仿宋_GB2312" w:cs="仿宋_GB2312" w:hint="eastAsia"/>
          <w:color w:val="000000" w:themeColor="text1"/>
          <w:sz w:val="32"/>
          <w:szCs w:val="32"/>
        </w:rPr>
        <w:lastRenderedPageBreak/>
        <w:t>员能力提升工程，实施教师党支部书记“党建带头人、学术带头人”“双带头人”培育工程，举办党支部书记全员轮训，实施“党的基本知识”教训培训工程，建立健全党员及入党积极分子教育培训体系。创新组织育人形式，深入推进“两学一做”常态化制度化，认真开展“三会一课”，精心组织开展“不忘初心、牢记使命”主题教育，扎实开展丰富多彩的党日活动，启动“基层党建质量提升行动计划”，开展党组织、群团组织创先争优工作，实施“党员先锋班”建设工程和教师党员与青年学生党员“</w:t>
      </w:r>
      <w:r>
        <w:rPr>
          <w:rFonts w:ascii="仿宋_GB2312" w:eastAsia="仿宋_GB2312" w:hAnsi="仿宋_GB2312" w:cs="仿宋_GB2312" w:hint="eastAsia"/>
          <w:color w:val="000000" w:themeColor="text1"/>
          <w:sz w:val="32"/>
          <w:szCs w:val="32"/>
        </w:rPr>
        <w:t>一对一”</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一对多”互选帮扶工程，开展“创先争优”主题论坛活动，遴选培育校院两级党建团建工作标杆，培育建设一批先进基层党团组织，创建示范性网上党建团建园地，推选展示一批党建团建优秀工作案例，营造对标先进、赶超先进的育人气氛。</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发挥各类群团组织的育人纽带功能。推动工会、共青团、学生会等群团组织创新组织动员、引领教育的载体与形式，更好地代表师生、团结师生、服务师生，支持各类师生社团开展主题鲜明、健康有益、丰富多彩的活动，充分发挥教研室、学术梯队、班级、宿舍在师生成长中的凝聚、引导、服务作用。培育建设一批文明社团、文明班级、文明宿舍。</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（责任部门：组织部、学生工作部（处）、团委、研究生院、各二级学院）</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三、建设时间</w:t>
      </w:r>
    </w:p>
    <w:p w:rsidR="00391E99" w:rsidRDefault="00D4075D">
      <w:pPr>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2018</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月</w:t>
      </w:r>
      <w:r>
        <w:rPr>
          <w:rFonts w:ascii="仿宋_GB2312" w:eastAsia="仿宋_GB2312" w:hAnsi="仿宋_GB2312" w:cs="仿宋_GB2312" w:hint="eastAsia"/>
          <w:color w:val="000000" w:themeColor="text1"/>
          <w:sz w:val="32"/>
          <w:szCs w:val="32"/>
        </w:rPr>
        <w:t>-2019</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12</w:t>
      </w:r>
      <w:r>
        <w:rPr>
          <w:rFonts w:ascii="仿宋_GB2312" w:eastAsia="仿宋_GB2312" w:hAnsi="仿宋_GB2312" w:cs="仿宋_GB2312" w:hint="eastAsia"/>
          <w:color w:val="000000" w:themeColor="text1"/>
          <w:sz w:val="32"/>
          <w:szCs w:val="32"/>
        </w:rPr>
        <w:t>月</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四、建设步骤</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（一）宣传动员阶段（</w:t>
      </w:r>
      <w:r>
        <w:rPr>
          <w:rFonts w:ascii="仿宋_GB2312" w:eastAsia="仿宋_GB2312" w:hAnsi="仿宋_GB2312" w:cs="仿宋_GB2312" w:hint="eastAsia"/>
          <w:b/>
          <w:bCs/>
          <w:color w:val="000000" w:themeColor="text1"/>
          <w:sz w:val="32"/>
          <w:szCs w:val="32"/>
        </w:rPr>
        <w:t>2018</w:t>
      </w:r>
      <w:r>
        <w:rPr>
          <w:rFonts w:ascii="仿宋_GB2312" w:eastAsia="仿宋_GB2312" w:hAnsi="仿宋_GB2312" w:cs="仿宋_GB2312" w:hint="eastAsia"/>
          <w:b/>
          <w:bCs/>
          <w:color w:val="000000" w:themeColor="text1"/>
          <w:sz w:val="32"/>
          <w:szCs w:val="32"/>
        </w:rPr>
        <w:t>年</w:t>
      </w:r>
      <w:r>
        <w:rPr>
          <w:rFonts w:ascii="仿宋_GB2312" w:eastAsia="仿宋_GB2312" w:hAnsi="仿宋_GB2312" w:cs="仿宋_GB2312" w:hint="eastAsia"/>
          <w:b/>
          <w:bCs/>
          <w:color w:val="000000" w:themeColor="text1"/>
          <w:sz w:val="32"/>
          <w:szCs w:val="32"/>
        </w:rPr>
        <w:t>1-4</w:t>
      </w:r>
      <w:r>
        <w:rPr>
          <w:rFonts w:ascii="仿宋_GB2312" w:eastAsia="仿宋_GB2312" w:hAnsi="仿宋_GB2312" w:cs="仿宋_GB2312" w:hint="eastAsia"/>
          <w:b/>
          <w:bCs/>
          <w:color w:val="000000" w:themeColor="text1"/>
          <w:sz w:val="32"/>
          <w:szCs w:val="32"/>
        </w:rPr>
        <w:t>月）。</w:t>
      </w:r>
      <w:r>
        <w:rPr>
          <w:rFonts w:ascii="仿宋_GB2312" w:eastAsia="仿宋_GB2312" w:hAnsi="仿宋_GB2312" w:cs="仿宋_GB2312" w:hint="eastAsia"/>
          <w:color w:val="000000" w:themeColor="text1"/>
          <w:sz w:val="32"/>
          <w:szCs w:val="32"/>
        </w:rPr>
        <w:t>根据工作需要，成立“三全育人”示范校培育建设项目领导小组和领导小组办公室，制定建设实施方案，分解建设任务，做好“三全育人”示范校培</w:t>
      </w:r>
      <w:r>
        <w:rPr>
          <w:rFonts w:ascii="仿宋_GB2312" w:eastAsia="仿宋_GB2312" w:hAnsi="仿宋_GB2312" w:cs="仿宋_GB2312" w:hint="eastAsia"/>
          <w:color w:val="000000" w:themeColor="text1"/>
          <w:sz w:val="32"/>
          <w:szCs w:val="32"/>
        </w:rPr>
        <w:lastRenderedPageBreak/>
        <w:t>育项目的启动工作。</w:t>
      </w:r>
    </w:p>
    <w:p w:rsidR="00391E99" w:rsidRDefault="00D4075D">
      <w:pPr>
        <w:spacing w:line="520" w:lineRule="exact"/>
        <w:ind w:firstLineChars="147" w:firstLine="472"/>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（二）组织实施阶段（</w:t>
      </w:r>
      <w:r>
        <w:rPr>
          <w:rFonts w:ascii="仿宋_GB2312" w:eastAsia="仿宋_GB2312" w:hAnsi="仿宋_GB2312" w:cs="仿宋_GB2312" w:hint="eastAsia"/>
          <w:b/>
          <w:bCs/>
          <w:color w:val="000000" w:themeColor="text1"/>
          <w:sz w:val="32"/>
          <w:szCs w:val="32"/>
        </w:rPr>
        <w:t>2018</w:t>
      </w:r>
      <w:r>
        <w:rPr>
          <w:rFonts w:ascii="仿宋_GB2312" w:eastAsia="仿宋_GB2312" w:hAnsi="仿宋_GB2312" w:cs="仿宋_GB2312" w:hint="eastAsia"/>
          <w:b/>
          <w:bCs/>
          <w:color w:val="000000" w:themeColor="text1"/>
          <w:sz w:val="32"/>
          <w:szCs w:val="32"/>
        </w:rPr>
        <w:t>年</w:t>
      </w:r>
      <w:r>
        <w:rPr>
          <w:rFonts w:ascii="仿宋_GB2312" w:eastAsia="仿宋_GB2312" w:hAnsi="仿宋_GB2312" w:cs="仿宋_GB2312" w:hint="eastAsia"/>
          <w:b/>
          <w:bCs/>
          <w:color w:val="000000" w:themeColor="text1"/>
          <w:sz w:val="32"/>
          <w:szCs w:val="32"/>
        </w:rPr>
        <w:t>5-9</w:t>
      </w:r>
      <w:r>
        <w:rPr>
          <w:rFonts w:ascii="仿宋_GB2312" w:eastAsia="仿宋_GB2312" w:hAnsi="仿宋_GB2312" w:cs="仿宋_GB2312" w:hint="eastAsia"/>
          <w:b/>
          <w:bCs/>
          <w:color w:val="000000" w:themeColor="text1"/>
          <w:sz w:val="32"/>
          <w:szCs w:val="32"/>
        </w:rPr>
        <w:t>月）。</w:t>
      </w:r>
      <w:r>
        <w:rPr>
          <w:rFonts w:ascii="仿宋_GB2312" w:eastAsia="仿宋_GB2312" w:hAnsi="仿宋_GB2312" w:cs="仿宋_GB2312" w:hint="eastAsia"/>
          <w:bCs/>
          <w:color w:val="000000" w:themeColor="text1"/>
          <w:sz w:val="32"/>
          <w:szCs w:val="32"/>
        </w:rPr>
        <w:t>各</w:t>
      </w:r>
      <w:r>
        <w:rPr>
          <w:rFonts w:ascii="仿宋_GB2312" w:eastAsia="仿宋_GB2312" w:hAnsi="仿宋_GB2312" w:cs="仿宋_GB2312" w:hint="eastAsia"/>
          <w:color w:val="000000" w:themeColor="text1"/>
          <w:sz w:val="32"/>
          <w:szCs w:val="32"/>
        </w:rPr>
        <w:t>体系总负责部门按照《广西师范学院</w:t>
      </w:r>
      <w:r>
        <w:rPr>
          <w:rFonts w:ascii="方正小标宋_GBK" w:eastAsia="方正小标宋_GBK" w:hAnsi="方正小标宋_GBK" w:cs="方正小标宋_GBK" w:hint="eastAsia"/>
          <w:bCs/>
          <w:color w:val="000000" w:themeColor="text1"/>
          <w:kern w:val="0"/>
          <w:sz w:val="36"/>
          <w:szCs w:val="36"/>
          <w:shd w:val="clear" w:color="auto" w:fill="FFFFFF"/>
          <w:lang w:bidi="ar"/>
        </w:rPr>
        <w:t>“</w:t>
      </w:r>
      <w:r>
        <w:rPr>
          <w:rFonts w:ascii="仿宋_GB2312" w:eastAsia="仿宋_GB2312" w:hAnsi="仿宋_GB2312" w:cs="仿宋_GB2312" w:hint="eastAsia"/>
          <w:color w:val="000000" w:themeColor="text1"/>
          <w:sz w:val="32"/>
          <w:szCs w:val="32"/>
        </w:rPr>
        <w:t>三全育人”示范校培育项目建设方案》十大育人质量提升体系建设任务，制定该体系的工作方案，于</w:t>
      </w: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月</w:t>
      </w:r>
      <w:r>
        <w:rPr>
          <w:rFonts w:ascii="仿宋_GB2312" w:eastAsia="仿宋_GB2312" w:hAnsi="仿宋_GB2312" w:cs="仿宋_GB2312" w:hint="eastAsia"/>
          <w:color w:val="000000" w:themeColor="text1"/>
          <w:sz w:val="32"/>
          <w:szCs w:val="32"/>
        </w:rPr>
        <w:t>20</w:t>
      </w:r>
      <w:r>
        <w:rPr>
          <w:rFonts w:ascii="仿宋_GB2312" w:eastAsia="仿宋_GB2312" w:hAnsi="仿宋_GB2312" w:cs="仿宋_GB2312" w:hint="eastAsia"/>
          <w:color w:val="000000" w:themeColor="text1"/>
          <w:sz w:val="32"/>
          <w:szCs w:val="32"/>
        </w:rPr>
        <w:t>日前提交领导小组办公室。各相关单位严格按照《广西师范学院“三全育人”示范校培育项目工作任务分解表》，结合实际，制定具体工作方案并认真组织实施。</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（三）年度中期自查阶段（</w:t>
      </w:r>
      <w:r>
        <w:rPr>
          <w:rFonts w:ascii="仿宋_GB2312" w:eastAsia="仿宋_GB2312" w:hAnsi="仿宋_GB2312" w:cs="仿宋_GB2312" w:hint="eastAsia"/>
          <w:b/>
          <w:bCs/>
          <w:color w:val="000000" w:themeColor="text1"/>
          <w:sz w:val="32"/>
          <w:szCs w:val="32"/>
        </w:rPr>
        <w:t>2018</w:t>
      </w:r>
      <w:r>
        <w:rPr>
          <w:rFonts w:ascii="仿宋_GB2312" w:eastAsia="仿宋_GB2312" w:hAnsi="仿宋_GB2312" w:cs="仿宋_GB2312" w:hint="eastAsia"/>
          <w:b/>
          <w:bCs/>
          <w:color w:val="000000" w:themeColor="text1"/>
          <w:sz w:val="32"/>
          <w:szCs w:val="32"/>
        </w:rPr>
        <w:t>年</w:t>
      </w:r>
      <w:r>
        <w:rPr>
          <w:rFonts w:ascii="仿宋_GB2312" w:eastAsia="仿宋_GB2312" w:hAnsi="仿宋_GB2312" w:cs="仿宋_GB2312" w:hint="eastAsia"/>
          <w:b/>
          <w:bCs/>
          <w:color w:val="000000" w:themeColor="text1"/>
          <w:sz w:val="32"/>
          <w:szCs w:val="32"/>
        </w:rPr>
        <w:t>9</w:t>
      </w:r>
      <w:r>
        <w:rPr>
          <w:rFonts w:ascii="仿宋_GB2312" w:eastAsia="仿宋_GB2312" w:hAnsi="仿宋_GB2312" w:cs="仿宋_GB2312" w:hint="eastAsia"/>
          <w:b/>
          <w:bCs/>
          <w:color w:val="000000" w:themeColor="text1"/>
          <w:sz w:val="32"/>
          <w:szCs w:val="32"/>
        </w:rPr>
        <w:t>月）。</w:t>
      </w:r>
      <w:r>
        <w:rPr>
          <w:rFonts w:ascii="仿宋_GB2312" w:eastAsia="仿宋_GB2312" w:hAnsi="仿宋_GB2312" w:cs="仿宋_GB2312" w:hint="eastAsia"/>
          <w:color w:val="000000" w:themeColor="text1"/>
          <w:sz w:val="32"/>
          <w:szCs w:val="32"/>
        </w:rPr>
        <w:t>根据项目建设目标任务和验收要点要求，各体系总负责部门撰写中期检查报告，于</w:t>
      </w:r>
      <w:r>
        <w:rPr>
          <w:rFonts w:ascii="仿宋_GB2312" w:eastAsia="仿宋_GB2312" w:hAnsi="仿宋_GB2312" w:cs="仿宋_GB2312" w:hint="eastAsia"/>
          <w:color w:val="000000" w:themeColor="text1"/>
          <w:sz w:val="32"/>
          <w:szCs w:val="32"/>
        </w:rPr>
        <w:t>9</w:t>
      </w:r>
      <w:r>
        <w:rPr>
          <w:rFonts w:ascii="仿宋_GB2312" w:eastAsia="仿宋_GB2312" w:hAnsi="仿宋_GB2312" w:cs="仿宋_GB2312" w:hint="eastAsia"/>
          <w:color w:val="000000" w:themeColor="text1"/>
          <w:sz w:val="32"/>
          <w:szCs w:val="32"/>
        </w:rPr>
        <w:t>月</w:t>
      </w:r>
      <w:r>
        <w:rPr>
          <w:rFonts w:ascii="仿宋_GB2312" w:eastAsia="仿宋_GB2312" w:hAnsi="仿宋_GB2312" w:cs="仿宋_GB2312" w:hint="eastAsia"/>
          <w:color w:val="000000" w:themeColor="text1"/>
          <w:sz w:val="32"/>
          <w:szCs w:val="32"/>
        </w:rPr>
        <w:t>25</w:t>
      </w:r>
      <w:r>
        <w:rPr>
          <w:rFonts w:ascii="仿宋_GB2312" w:eastAsia="仿宋_GB2312" w:hAnsi="仿宋_GB2312" w:cs="仿宋_GB2312" w:hint="eastAsia"/>
          <w:color w:val="000000" w:themeColor="text1"/>
          <w:sz w:val="32"/>
          <w:szCs w:val="32"/>
        </w:rPr>
        <w:t>日前提交领导小组办公室。领导小组办公室将对各单位的建设情况进行全面检查，认真评估建设成效与不足，并制定具体改进计划和措施，将“三全育人”工作落到实处，确保顺利完成</w:t>
      </w:r>
      <w:r>
        <w:rPr>
          <w:rFonts w:ascii="仿宋_GB2312" w:eastAsia="仿宋_GB2312" w:hAnsi="仿宋_GB2312" w:cs="仿宋_GB2312" w:hint="eastAsia"/>
          <w:color w:val="000000" w:themeColor="text1"/>
          <w:sz w:val="32"/>
          <w:szCs w:val="32"/>
        </w:rPr>
        <w:t>10</w:t>
      </w:r>
      <w:r>
        <w:rPr>
          <w:rFonts w:ascii="仿宋_GB2312" w:eastAsia="仿宋_GB2312" w:hAnsi="仿宋_GB2312" w:cs="仿宋_GB2312" w:hint="eastAsia"/>
          <w:color w:val="000000" w:themeColor="text1"/>
          <w:sz w:val="32"/>
          <w:szCs w:val="32"/>
        </w:rPr>
        <w:t>月份自治区教育厅中期检查任务。</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（四）年度中期迎检阶段（</w:t>
      </w:r>
      <w:r>
        <w:rPr>
          <w:rFonts w:ascii="仿宋_GB2312" w:eastAsia="仿宋_GB2312" w:hAnsi="仿宋_GB2312" w:cs="仿宋_GB2312" w:hint="eastAsia"/>
          <w:b/>
          <w:bCs/>
          <w:color w:val="000000" w:themeColor="text1"/>
          <w:sz w:val="32"/>
          <w:szCs w:val="32"/>
        </w:rPr>
        <w:t>2018</w:t>
      </w:r>
      <w:r>
        <w:rPr>
          <w:rFonts w:ascii="仿宋_GB2312" w:eastAsia="仿宋_GB2312" w:hAnsi="仿宋_GB2312" w:cs="仿宋_GB2312" w:hint="eastAsia"/>
          <w:b/>
          <w:bCs/>
          <w:color w:val="000000" w:themeColor="text1"/>
          <w:sz w:val="32"/>
          <w:szCs w:val="32"/>
        </w:rPr>
        <w:t>年</w:t>
      </w:r>
      <w:r>
        <w:rPr>
          <w:rFonts w:ascii="仿宋_GB2312" w:eastAsia="仿宋_GB2312" w:hAnsi="仿宋_GB2312" w:cs="仿宋_GB2312" w:hint="eastAsia"/>
          <w:b/>
          <w:bCs/>
          <w:color w:val="000000" w:themeColor="text1"/>
          <w:sz w:val="32"/>
          <w:szCs w:val="32"/>
        </w:rPr>
        <w:t>10</w:t>
      </w:r>
      <w:r>
        <w:rPr>
          <w:rFonts w:ascii="仿宋_GB2312" w:eastAsia="仿宋_GB2312" w:hAnsi="仿宋_GB2312" w:cs="仿宋_GB2312" w:hint="eastAsia"/>
          <w:b/>
          <w:bCs/>
          <w:color w:val="000000" w:themeColor="text1"/>
          <w:sz w:val="32"/>
          <w:szCs w:val="32"/>
        </w:rPr>
        <w:t>月）。</w:t>
      </w:r>
      <w:r>
        <w:rPr>
          <w:rFonts w:ascii="仿宋_GB2312" w:eastAsia="仿宋_GB2312" w:hAnsi="仿宋_GB2312" w:cs="仿宋_GB2312" w:hint="eastAsia"/>
          <w:color w:val="000000" w:themeColor="text1"/>
          <w:sz w:val="32"/>
          <w:szCs w:val="32"/>
        </w:rPr>
        <w:t>总结项目建设阶段性成果和经验，收集整理相关档案资料，向广西教育厅报送“三全育人”示范校建设项目建设情况，并接受评估。</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（五）整改提高阶段（</w:t>
      </w:r>
      <w:r>
        <w:rPr>
          <w:rFonts w:ascii="仿宋_GB2312" w:eastAsia="仿宋_GB2312" w:hAnsi="仿宋_GB2312" w:cs="仿宋_GB2312" w:hint="eastAsia"/>
          <w:b/>
          <w:bCs/>
          <w:color w:val="000000" w:themeColor="text1"/>
          <w:sz w:val="32"/>
          <w:szCs w:val="32"/>
        </w:rPr>
        <w:t>2018</w:t>
      </w:r>
      <w:r>
        <w:rPr>
          <w:rFonts w:ascii="仿宋_GB2312" w:eastAsia="仿宋_GB2312" w:hAnsi="仿宋_GB2312" w:cs="仿宋_GB2312" w:hint="eastAsia"/>
          <w:b/>
          <w:bCs/>
          <w:color w:val="000000" w:themeColor="text1"/>
          <w:sz w:val="32"/>
          <w:szCs w:val="32"/>
        </w:rPr>
        <w:t>年</w:t>
      </w:r>
      <w:r>
        <w:rPr>
          <w:rFonts w:ascii="仿宋_GB2312" w:eastAsia="仿宋_GB2312" w:hAnsi="仿宋_GB2312" w:cs="仿宋_GB2312" w:hint="eastAsia"/>
          <w:b/>
          <w:bCs/>
          <w:color w:val="000000" w:themeColor="text1"/>
          <w:sz w:val="32"/>
          <w:szCs w:val="32"/>
        </w:rPr>
        <w:t>11</w:t>
      </w:r>
      <w:r>
        <w:rPr>
          <w:rFonts w:ascii="仿宋_GB2312" w:eastAsia="仿宋_GB2312" w:hAnsi="仿宋_GB2312" w:cs="仿宋_GB2312" w:hint="eastAsia"/>
          <w:b/>
          <w:bCs/>
          <w:color w:val="000000" w:themeColor="text1"/>
          <w:sz w:val="32"/>
          <w:szCs w:val="32"/>
        </w:rPr>
        <w:t>月—</w:t>
      </w:r>
      <w:r>
        <w:rPr>
          <w:rFonts w:ascii="仿宋_GB2312" w:eastAsia="仿宋_GB2312" w:hAnsi="仿宋_GB2312" w:cs="仿宋_GB2312" w:hint="eastAsia"/>
          <w:b/>
          <w:bCs/>
          <w:color w:val="000000" w:themeColor="text1"/>
          <w:sz w:val="32"/>
          <w:szCs w:val="32"/>
        </w:rPr>
        <w:t>2019</w:t>
      </w:r>
      <w:r>
        <w:rPr>
          <w:rFonts w:ascii="仿宋_GB2312" w:eastAsia="仿宋_GB2312" w:hAnsi="仿宋_GB2312" w:cs="仿宋_GB2312" w:hint="eastAsia"/>
          <w:b/>
          <w:bCs/>
          <w:color w:val="000000" w:themeColor="text1"/>
          <w:sz w:val="32"/>
          <w:szCs w:val="32"/>
        </w:rPr>
        <w:t>年</w:t>
      </w:r>
      <w:r>
        <w:rPr>
          <w:rFonts w:ascii="仿宋_GB2312" w:eastAsia="仿宋_GB2312" w:hAnsi="仿宋_GB2312" w:cs="仿宋_GB2312" w:hint="eastAsia"/>
          <w:b/>
          <w:bCs/>
          <w:color w:val="000000" w:themeColor="text1"/>
          <w:sz w:val="32"/>
          <w:szCs w:val="32"/>
        </w:rPr>
        <w:t>12</w:t>
      </w:r>
      <w:r>
        <w:rPr>
          <w:rFonts w:ascii="仿宋_GB2312" w:eastAsia="仿宋_GB2312" w:hAnsi="仿宋_GB2312" w:cs="仿宋_GB2312" w:hint="eastAsia"/>
          <w:b/>
          <w:bCs/>
          <w:color w:val="000000" w:themeColor="text1"/>
          <w:sz w:val="32"/>
          <w:szCs w:val="32"/>
        </w:rPr>
        <w:t>月）。</w:t>
      </w:r>
      <w:r>
        <w:rPr>
          <w:rFonts w:ascii="仿宋_GB2312" w:eastAsia="仿宋_GB2312" w:hAnsi="仿宋_GB2312" w:cs="仿宋_GB2312" w:hint="eastAsia"/>
          <w:color w:val="000000" w:themeColor="text1"/>
          <w:sz w:val="32"/>
          <w:szCs w:val="32"/>
        </w:rPr>
        <w:t>以中期自查和第</w:t>
      </w:r>
      <w:r>
        <w:rPr>
          <w:rFonts w:ascii="仿宋_GB2312" w:eastAsia="仿宋_GB2312" w:hAnsi="仿宋_GB2312" w:cs="仿宋_GB2312" w:hint="eastAsia"/>
          <w:color w:val="000000" w:themeColor="text1"/>
          <w:sz w:val="32"/>
          <w:szCs w:val="32"/>
        </w:rPr>
        <w:t>三方评估为契机，认真查找存在的差距和薄弱环节，采取得力措施改进工作，切实推进“三全育人”示范校建设工作顺利完成。</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（六）年度成果汇报展示阶段（</w:t>
      </w:r>
      <w:r>
        <w:rPr>
          <w:rFonts w:ascii="仿宋_GB2312" w:eastAsia="仿宋_GB2312" w:hAnsi="仿宋_GB2312" w:cs="仿宋_GB2312" w:hint="eastAsia"/>
          <w:b/>
          <w:bCs/>
          <w:color w:val="000000" w:themeColor="text1"/>
          <w:sz w:val="32"/>
          <w:szCs w:val="32"/>
        </w:rPr>
        <w:t>2018</w:t>
      </w:r>
      <w:r>
        <w:rPr>
          <w:rFonts w:ascii="仿宋_GB2312" w:eastAsia="仿宋_GB2312" w:hAnsi="仿宋_GB2312" w:cs="仿宋_GB2312" w:hint="eastAsia"/>
          <w:b/>
          <w:bCs/>
          <w:color w:val="000000" w:themeColor="text1"/>
          <w:sz w:val="32"/>
          <w:szCs w:val="32"/>
        </w:rPr>
        <w:t>年</w:t>
      </w:r>
      <w:r>
        <w:rPr>
          <w:rFonts w:ascii="仿宋_GB2312" w:eastAsia="仿宋_GB2312" w:hAnsi="仿宋_GB2312" w:cs="仿宋_GB2312" w:hint="eastAsia"/>
          <w:b/>
          <w:bCs/>
          <w:color w:val="000000" w:themeColor="text1"/>
          <w:sz w:val="32"/>
          <w:szCs w:val="32"/>
        </w:rPr>
        <w:t>12</w:t>
      </w:r>
      <w:r>
        <w:rPr>
          <w:rFonts w:ascii="仿宋_GB2312" w:eastAsia="仿宋_GB2312" w:hAnsi="仿宋_GB2312" w:cs="仿宋_GB2312" w:hint="eastAsia"/>
          <w:b/>
          <w:bCs/>
          <w:color w:val="000000" w:themeColor="text1"/>
          <w:sz w:val="32"/>
          <w:szCs w:val="32"/>
        </w:rPr>
        <w:t>月）。</w:t>
      </w:r>
      <w:r>
        <w:rPr>
          <w:rFonts w:ascii="仿宋_GB2312" w:eastAsia="仿宋_GB2312" w:hAnsi="仿宋_GB2312" w:cs="仿宋_GB2312" w:hint="eastAsia"/>
          <w:color w:val="000000" w:themeColor="text1"/>
          <w:sz w:val="32"/>
          <w:szCs w:val="32"/>
        </w:rPr>
        <w:t>在校内举行成果汇报展示会，向全校师生展示“三全育人”示范校培育项目</w:t>
      </w:r>
      <w:r>
        <w:rPr>
          <w:rFonts w:ascii="仿宋_GB2312" w:eastAsia="仿宋_GB2312" w:hAnsi="仿宋_GB2312" w:cs="仿宋_GB2312" w:hint="eastAsia"/>
          <w:color w:val="000000" w:themeColor="text1"/>
          <w:sz w:val="32"/>
          <w:szCs w:val="32"/>
        </w:rPr>
        <w:t>2018</w:t>
      </w:r>
      <w:r>
        <w:rPr>
          <w:rFonts w:ascii="仿宋_GB2312" w:eastAsia="仿宋_GB2312" w:hAnsi="仿宋_GB2312" w:cs="仿宋_GB2312" w:hint="eastAsia"/>
          <w:color w:val="000000" w:themeColor="text1"/>
          <w:sz w:val="32"/>
          <w:szCs w:val="32"/>
        </w:rPr>
        <w:t>年建设成果。</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（七）整体评估验收阶段（</w:t>
      </w:r>
      <w:r>
        <w:rPr>
          <w:rFonts w:ascii="仿宋_GB2312" w:eastAsia="仿宋_GB2312" w:hAnsi="仿宋_GB2312" w:cs="仿宋_GB2312" w:hint="eastAsia"/>
          <w:b/>
          <w:bCs/>
          <w:color w:val="000000" w:themeColor="text1"/>
          <w:sz w:val="32"/>
          <w:szCs w:val="32"/>
        </w:rPr>
        <w:t>2019</w:t>
      </w:r>
      <w:r>
        <w:rPr>
          <w:rFonts w:ascii="仿宋_GB2312" w:eastAsia="仿宋_GB2312" w:hAnsi="仿宋_GB2312" w:cs="仿宋_GB2312" w:hint="eastAsia"/>
          <w:b/>
          <w:bCs/>
          <w:color w:val="000000" w:themeColor="text1"/>
          <w:sz w:val="32"/>
          <w:szCs w:val="32"/>
        </w:rPr>
        <w:t>年</w:t>
      </w:r>
      <w:r>
        <w:rPr>
          <w:rFonts w:ascii="仿宋_GB2312" w:eastAsia="仿宋_GB2312" w:hAnsi="仿宋_GB2312" w:cs="仿宋_GB2312" w:hint="eastAsia"/>
          <w:b/>
          <w:bCs/>
          <w:color w:val="000000" w:themeColor="text1"/>
          <w:sz w:val="32"/>
          <w:szCs w:val="32"/>
        </w:rPr>
        <w:t>10</w:t>
      </w:r>
      <w:r>
        <w:rPr>
          <w:rFonts w:ascii="仿宋_GB2312" w:eastAsia="仿宋_GB2312" w:hAnsi="仿宋_GB2312" w:cs="仿宋_GB2312" w:hint="eastAsia"/>
          <w:b/>
          <w:bCs/>
          <w:color w:val="000000" w:themeColor="text1"/>
          <w:sz w:val="32"/>
          <w:szCs w:val="32"/>
        </w:rPr>
        <w:t>月—</w:t>
      </w:r>
      <w:r>
        <w:rPr>
          <w:rFonts w:ascii="仿宋_GB2312" w:eastAsia="仿宋_GB2312" w:hAnsi="仿宋_GB2312" w:cs="仿宋_GB2312" w:hint="eastAsia"/>
          <w:b/>
          <w:bCs/>
          <w:color w:val="000000" w:themeColor="text1"/>
          <w:sz w:val="32"/>
          <w:szCs w:val="32"/>
        </w:rPr>
        <w:t>12</w:t>
      </w:r>
      <w:r>
        <w:rPr>
          <w:rFonts w:ascii="仿宋_GB2312" w:eastAsia="仿宋_GB2312" w:hAnsi="仿宋_GB2312" w:cs="仿宋_GB2312" w:hint="eastAsia"/>
          <w:b/>
          <w:bCs/>
          <w:color w:val="000000" w:themeColor="text1"/>
          <w:sz w:val="32"/>
          <w:szCs w:val="32"/>
        </w:rPr>
        <w:t>月）。</w:t>
      </w:r>
      <w:r>
        <w:rPr>
          <w:rFonts w:ascii="仿宋_GB2312" w:eastAsia="仿宋_GB2312" w:hAnsi="仿宋_GB2312" w:cs="仿宋_GB2312" w:hint="eastAsia"/>
          <w:color w:val="000000" w:themeColor="text1"/>
          <w:sz w:val="32"/>
          <w:szCs w:val="32"/>
        </w:rPr>
        <w:t>全面总结项目培育建设工作，收集整理相关档案资料，接受自治区教育厅对项目的整体评估验收。</w:t>
      </w:r>
    </w:p>
    <w:p w:rsidR="00391E99" w:rsidRDefault="00D4075D">
      <w:pPr>
        <w:spacing w:line="52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lastRenderedPageBreak/>
        <w:t>五、建设要求</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（一）提高认识，加强领导。</w:t>
      </w:r>
      <w:r>
        <w:rPr>
          <w:rFonts w:ascii="仿宋_GB2312" w:eastAsia="仿宋_GB2312" w:hAnsi="仿宋_GB2312" w:cs="仿宋_GB2312" w:hint="eastAsia"/>
          <w:color w:val="000000" w:themeColor="text1"/>
          <w:sz w:val="32"/>
          <w:szCs w:val="32"/>
        </w:rPr>
        <w:t>“三全育人”是一项系统工程，是一项长期任务，全校各级领导干部及师生员工要充分认识“</w:t>
      </w:r>
      <w:r>
        <w:rPr>
          <w:rFonts w:ascii="仿宋_GB2312" w:eastAsia="仿宋_GB2312" w:hAnsi="仿宋_GB2312" w:cs="仿宋_GB2312" w:hint="eastAsia"/>
          <w:color w:val="000000" w:themeColor="text1"/>
          <w:sz w:val="32"/>
          <w:szCs w:val="32"/>
        </w:rPr>
        <w:t>三全育人”的重要性与必要性，高度重视培育建设活动，切实提高“三全育人”工作责任意识。学校成立“三全育人”示范校培育建设项目领导小组并下设办公室，具体成员名单和工作职责详见附件，各单位要按照学校统一部署和要求，结合自身实际，成立工作机构，制定工作方案，抓好工作落实，确保各项工作任务圆满完成。</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（二）高度重视，强化责任。</w:t>
      </w:r>
      <w:r>
        <w:rPr>
          <w:rFonts w:ascii="仿宋_GB2312" w:eastAsia="仿宋_GB2312" w:hAnsi="仿宋_GB2312" w:cs="仿宋_GB2312" w:hint="eastAsia"/>
          <w:color w:val="000000" w:themeColor="text1"/>
          <w:sz w:val="32"/>
          <w:szCs w:val="32"/>
        </w:rPr>
        <w:t>各责任部门要高度重视此项工作，认真对照任务分解表做好研究和工作部署，将建设任务与本年度承担的学校重点工作任务有机结合起来，稳步推进各项工作，确保高质量完成建设任务。各部门正职为部门工作第一责任人，要切实负起工作责任，准确把握工作目标和建设要求，创新工作方式方法，扎实推进各项工作，确保</w:t>
      </w:r>
      <w:r>
        <w:rPr>
          <w:rFonts w:ascii="方正小标宋_GBK" w:eastAsia="方正小标宋_GBK" w:hAnsi="方正小标宋_GBK" w:cs="方正小标宋_GBK" w:hint="eastAsia"/>
          <w:bCs/>
          <w:color w:val="000000" w:themeColor="text1"/>
          <w:kern w:val="0"/>
          <w:sz w:val="36"/>
          <w:szCs w:val="36"/>
          <w:shd w:val="clear" w:color="auto" w:fill="FFFFFF"/>
          <w:lang w:bidi="ar"/>
        </w:rPr>
        <w:t>“</w:t>
      </w:r>
      <w:r>
        <w:rPr>
          <w:rFonts w:ascii="仿宋_GB2312" w:eastAsia="仿宋_GB2312" w:hAnsi="仿宋_GB2312" w:cs="仿宋_GB2312" w:hint="eastAsia"/>
          <w:color w:val="000000" w:themeColor="text1"/>
          <w:sz w:val="32"/>
          <w:szCs w:val="32"/>
        </w:rPr>
        <w:t>三全育人”示范校培育项目建设工作取得突出成效。</w:t>
      </w:r>
    </w:p>
    <w:p w:rsidR="00391E99" w:rsidRDefault="00D4075D">
      <w:pPr>
        <w:spacing w:line="52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（三）落实经费，加强管理。</w:t>
      </w:r>
      <w:r>
        <w:rPr>
          <w:rFonts w:ascii="仿宋_GB2312" w:eastAsia="仿宋_GB2312" w:hAnsi="仿宋_GB2312" w:cs="仿宋_GB2312" w:hint="eastAsia"/>
          <w:color w:val="000000" w:themeColor="text1"/>
          <w:sz w:val="32"/>
          <w:szCs w:val="32"/>
        </w:rPr>
        <w:t>2018</w:t>
      </w:r>
      <w:r>
        <w:rPr>
          <w:rFonts w:ascii="仿宋_GB2312" w:eastAsia="仿宋_GB2312" w:hAnsi="仿宋_GB2312" w:cs="仿宋_GB2312" w:hint="eastAsia"/>
          <w:color w:val="000000" w:themeColor="text1"/>
          <w:sz w:val="32"/>
          <w:szCs w:val="32"/>
        </w:rPr>
        <w:t>年自治区财政投入</w:t>
      </w:r>
      <w:r>
        <w:rPr>
          <w:rFonts w:ascii="仿宋_GB2312" w:eastAsia="仿宋_GB2312" w:hAnsi="仿宋_GB2312" w:cs="仿宋_GB2312" w:hint="eastAsia"/>
          <w:color w:val="000000" w:themeColor="text1"/>
          <w:sz w:val="32"/>
          <w:szCs w:val="32"/>
        </w:rPr>
        <w:t>55</w:t>
      </w:r>
      <w:r>
        <w:rPr>
          <w:rFonts w:ascii="仿宋_GB2312" w:eastAsia="仿宋_GB2312" w:hAnsi="仿宋_GB2312" w:cs="仿宋_GB2312" w:hint="eastAsia"/>
          <w:color w:val="000000" w:themeColor="text1"/>
          <w:sz w:val="32"/>
          <w:szCs w:val="32"/>
        </w:rPr>
        <w:t>万元作为本项目建设资金，学校配套设立本项目专项建设资金</w:t>
      </w:r>
      <w:r>
        <w:rPr>
          <w:rFonts w:ascii="仿宋_GB2312" w:eastAsia="仿宋_GB2312" w:hAnsi="仿宋_GB2312" w:cs="仿宋_GB2312" w:hint="eastAsia"/>
          <w:color w:val="000000" w:themeColor="text1"/>
          <w:sz w:val="32"/>
          <w:szCs w:val="32"/>
        </w:rPr>
        <w:t>200</w:t>
      </w:r>
      <w:r>
        <w:rPr>
          <w:rFonts w:ascii="仿宋_GB2312" w:eastAsia="仿宋_GB2312" w:hAnsi="仿宋_GB2312" w:cs="仿宋_GB2312" w:hint="eastAsia"/>
          <w:color w:val="000000" w:themeColor="text1"/>
          <w:sz w:val="32"/>
          <w:szCs w:val="32"/>
        </w:rPr>
        <w:t>万元。项目建设经费严格按照自治区教育厅和学校相关规定，实行专项管</w:t>
      </w:r>
      <w:r>
        <w:rPr>
          <w:rFonts w:ascii="仿宋_GB2312" w:eastAsia="仿宋_GB2312" w:hAnsi="仿宋_GB2312" w:cs="仿宋_GB2312" w:hint="eastAsia"/>
          <w:color w:val="000000" w:themeColor="text1"/>
          <w:sz w:val="32"/>
          <w:szCs w:val="32"/>
        </w:rPr>
        <w:t>理，专款专用，严格执行建设项目全面预算管理。学校财务处对建设项目的资金投向及年度资金调度安排实行全过程管理，确保专项资金使用的严肃性和合理性，确保“三全育人”示范校培育建设项目顺利进行。</w:t>
      </w:r>
    </w:p>
    <w:p w:rsidR="00391E99" w:rsidRDefault="00391E99">
      <w:pPr>
        <w:spacing w:line="540" w:lineRule="exact"/>
        <w:rPr>
          <w:rFonts w:ascii="楷体" w:eastAsia="楷体" w:hAnsi="楷体" w:cs="楷体"/>
          <w:b/>
          <w:color w:val="000000" w:themeColor="text1"/>
          <w:kern w:val="0"/>
          <w:sz w:val="32"/>
          <w:szCs w:val="32"/>
        </w:rPr>
      </w:pPr>
    </w:p>
    <w:sectPr w:rsidR="00391E99">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75D" w:rsidRDefault="00D4075D">
      <w:r>
        <w:separator/>
      </w:r>
    </w:p>
  </w:endnote>
  <w:endnote w:type="continuationSeparator" w:id="0">
    <w:p w:rsidR="00D4075D" w:rsidRDefault="00D4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E99" w:rsidRDefault="00D4075D">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1E99" w:rsidRDefault="00D4075D">
                          <w:pPr>
                            <w:pStyle w:val="a4"/>
                          </w:pPr>
                          <w:r>
                            <w:rPr>
                              <w:rFonts w:hint="eastAsia"/>
                            </w:rPr>
                            <w:fldChar w:fldCharType="begin"/>
                          </w:r>
                          <w:r>
                            <w:rPr>
                              <w:rFonts w:hint="eastAsia"/>
                            </w:rPr>
                            <w:instrText xml:space="preserve"> PAGE  \* MERGEFORMAT </w:instrText>
                          </w:r>
                          <w:r>
                            <w:rPr>
                              <w:rFonts w:hint="eastAsia"/>
                            </w:rPr>
                            <w:fldChar w:fldCharType="separate"/>
                          </w:r>
                          <w:r w:rsidR="00AD2716">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91E99" w:rsidRDefault="00D4075D">
                    <w:pPr>
                      <w:pStyle w:val="a4"/>
                    </w:pPr>
                    <w:r>
                      <w:rPr>
                        <w:rFonts w:hint="eastAsia"/>
                      </w:rPr>
                      <w:fldChar w:fldCharType="begin"/>
                    </w:r>
                    <w:r>
                      <w:rPr>
                        <w:rFonts w:hint="eastAsia"/>
                      </w:rPr>
                      <w:instrText xml:space="preserve"> PAGE  \* MERGEFORMAT </w:instrText>
                    </w:r>
                    <w:r>
                      <w:rPr>
                        <w:rFonts w:hint="eastAsia"/>
                      </w:rPr>
                      <w:fldChar w:fldCharType="separate"/>
                    </w:r>
                    <w:r w:rsidR="00AD2716">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75D" w:rsidRDefault="00D4075D">
      <w:r>
        <w:separator/>
      </w:r>
    </w:p>
  </w:footnote>
  <w:footnote w:type="continuationSeparator" w:id="0">
    <w:p w:rsidR="00D4075D" w:rsidRDefault="00D407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cumentProtection w:edit="trackedChanges" w:formatting="1" w:enforcement="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454BD"/>
    <w:rsid w:val="0001032B"/>
    <w:rsid w:val="00010709"/>
    <w:rsid w:val="00021951"/>
    <w:rsid w:val="00035038"/>
    <w:rsid w:val="00035191"/>
    <w:rsid w:val="00040E2F"/>
    <w:rsid w:val="00043CF7"/>
    <w:rsid w:val="00045333"/>
    <w:rsid w:val="00047089"/>
    <w:rsid w:val="000505EA"/>
    <w:rsid w:val="000510C8"/>
    <w:rsid w:val="0005520A"/>
    <w:rsid w:val="00066CA6"/>
    <w:rsid w:val="00071C2F"/>
    <w:rsid w:val="000722C7"/>
    <w:rsid w:val="0007244F"/>
    <w:rsid w:val="00081FDE"/>
    <w:rsid w:val="0008226C"/>
    <w:rsid w:val="00093EBA"/>
    <w:rsid w:val="000A4669"/>
    <w:rsid w:val="000A4DE0"/>
    <w:rsid w:val="000A5DAD"/>
    <w:rsid w:val="000A5F8E"/>
    <w:rsid w:val="000A62D7"/>
    <w:rsid w:val="000B1072"/>
    <w:rsid w:val="000B22A1"/>
    <w:rsid w:val="000B29EA"/>
    <w:rsid w:val="000B71B1"/>
    <w:rsid w:val="000B7904"/>
    <w:rsid w:val="000C0710"/>
    <w:rsid w:val="000C3887"/>
    <w:rsid w:val="000D1FB1"/>
    <w:rsid w:val="000D299A"/>
    <w:rsid w:val="000D3A2E"/>
    <w:rsid w:val="000E77C8"/>
    <w:rsid w:val="000F1EDD"/>
    <w:rsid w:val="00100EF2"/>
    <w:rsid w:val="00102773"/>
    <w:rsid w:val="00102B71"/>
    <w:rsid w:val="00103341"/>
    <w:rsid w:val="001040A1"/>
    <w:rsid w:val="001040D9"/>
    <w:rsid w:val="00110A3C"/>
    <w:rsid w:val="00110E54"/>
    <w:rsid w:val="00112F62"/>
    <w:rsid w:val="00114FE2"/>
    <w:rsid w:val="0012736B"/>
    <w:rsid w:val="00127811"/>
    <w:rsid w:val="001356A0"/>
    <w:rsid w:val="001360FC"/>
    <w:rsid w:val="00140F8D"/>
    <w:rsid w:val="00141529"/>
    <w:rsid w:val="001418A9"/>
    <w:rsid w:val="00146652"/>
    <w:rsid w:val="001474E8"/>
    <w:rsid w:val="0015017B"/>
    <w:rsid w:val="00152A70"/>
    <w:rsid w:val="001531A3"/>
    <w:rsid w:val="0015673D"/>
    <w:rsid w:val="0015711C"/>
    <w:rsid w:val="00157CFB"/>
    <w:rsid w:val="00161B36"/>
    <w:rsid w:val="001623D3"/>
    <w:rsid w:val="001631B2"/>
    <w:rsid w:val="00165EEA"/>
    <w:rsid w:val="00166203"/>
    <w:rsid w:val="00172086"/>
    <w:rsid w:val="001855B9"/>
    <w:rsid w:val="00185C47"/>
    <w:rsid w:val="00187FE1"/>
    <w:rsid w:val="001922C7"/>
    <w:rsid w:val="001A3E20"/>
    <w:rsid w:val="001A580C"/>
    <w:rsid w:val="001B71FC"/>
    <w:rsid w:val="001B7622"/>
    <w:rsid w:val="001C446F"/>
    <w:rsid w:val="001D3AC2"/>
    <w:rsid w:val="001D5969"/>
    <w:rsid w:val="001D76DC"/>
    <w:rsid w:val="001E0774"/>
    <w:rsid w:val="001E716A"/>
    <w:rsid w:val="001E7F13"/>
    <w:rsid w:val="001F2875"/>
    <w:rsid w:val="001F75E3"/>
    <w:rsid w:val="001F7BE2"/>
    <w:rsid w:val="001F7C7B"/>
    <w:rsid w:val="00200849"/>
    <w:rsid w:val="002029C3"/>
    <w:rsid w:val="00204C6E"/>
    <w:rsid w:val="002172F4"/>
    <w:rsid w:val="00217ACB"/>
    <w:rsid w:val="00220C94"/>
    <w:rsid w:val="00233795"/>
    <w:rsid w:val="002341AF"/>
    <w:rsid w:val="00235FF7"/>
    <w:rsid w:val="00240FBC"/>
    <w:rsid w:val="00246505"/>
    <w:rsid w:val="00250948"/>
    <w:rsid w:val="00255266"/>
    <w:rsid w:val="0025679F"/>
    <w:rsid w:val="00257325"/>
    <w:rsid w:val="002627AA"/>
    <w:rsid w:val="00267F4E"/>
    <w:rsid w:val="00270730"/>
    <w:rsid w:val="0028400B"/>
    <w:rsid w:val="002841B0"/>
    <w:rsid w:val="00284556"/>
    <w:rsid w:val="00284767"/>
    <w:rsid w:val="0028593C"/>
    <w:rsid w:val="00286ABB"/>
    <w:rsid w:val="00290B83"/>
    <w:rsid w:val="002951D7"/>
    <w:rsid w:val="00296C02"/>
    <w:rsid w:val="0029784D"/>
    <w:rsid w:val="00297C14"/>
    <w:rsid w:val="002A0B64"/>
    <w:rsid w:val="002A2CDB"/>
    <w:rsid w:val="002B0992"/>
    <w:rsid w:val="002B1743"/>
    <w:rsid w:val="002B7364"/>
    <w:rsid w:val="002B7E6A"/>
    <w:rsid w:val="002C0796"/>
    <w:rsid w:val="002C16FD"/>
    <w:rsid w:val="002C27FA"/>
    <w:rsid w:val="002C286D"/>
    <w:rsid w:val="002C6814"/>
    <w:rsid w:val="002E2DAE"/>
    <w:rsid w:val="002F37B0"/>
    <w:rsid w:val="002F4BEB"/>
    <w:rsid w:val="00304035"/>
    <w:rsid w:val="003060FB"/>
    <w:rsid w:val="00316066"/>
    <w:rsid w:val="0032378D"/>
    <w:rsid w:val="00326B1F"/>
    <w:rsid w:val="00332A71"/>
    <w:rsid w:val="00335B06"/>
    <w:rsid w:val="003369FB"/>
    <w:rsid w:val="003407AD"/>
    <w:rsid w:val="00341AC9"/>
    <w:rsid w:val="00343FDD"/>
    <w:rsid w:val="00347A5D"/>
    <w:rsid w:val="00351121"/>
    <w:rsid w:val="00351548"/>
    <w:rsid w:val="00353F51"/>
    <w:rsid w:val="00363722"/>
    <w:rsid w:val="00370B45"/>
    <w:rsid w:val="0038191F"/>
    <w:rsid w:val="003822A0"/>
    <w:rsid w:val="00382EB1"/>
    <w:rsid w:val="003872B5"/>
    <w:rsid w:val="00391E99"/>
    <w:rsid w:val="003A5A15"/>
    <w:rsid w:val="003A5D31"/>
    <w:rsid w:val="003B61DE"/>
    <w:rsid w:val="003B7A04"/>
    <w:rsid w:val="003C460B"/>
    <w:rsid w:val="003C577C"/>
    <w:rsid w:val="003C7E04"/>
    <w:rsid w:val="003D28FB"/>
    <w:rsid w:val="003D7847"/>
    <w:rsid w:val="00404280"/>
    <w:rsid w:val="00404C06"/>
    <w:rsid w:val="00411790"/>
    <w:rsid w:val="00420FC3"/>
    <w:rsid w:val="0043127E"/>
    <w:rsid w:val="00433812"/>
    <w:rsid w:val="00434724"/>
    <w:rsid w:val="00440D0A"/>
    <w:rsid w:val="0044182D"/>
    <w:rsid w:val="004503AD"/>
    <w:rsid w:val="0045323B"/>
    <w:rsid w:val="00455BEB"/>
    <w:rsid w:val="0045622E"/>
    <w:rsid w:val="004568BB"/>
    <w:rsid w:val="00460A1E"/>
    <w:rsid w:val="004647F2"/>
    <w:rsid w:val="00464A47"/>
    <w:rsid w:val="00465648"/>
    <w:rsid w:val="0047167A"/>
    <w:rsid w:val="0047263B"/>
    <w:rsid w:val="0047327F"/>
    <w:rsid w:val="004735F2"/>
    <w:rsid w:val="0047707A"/>
    <w:rsid w:val="0048272D"/>
    <w:rsid w:val="004850BA"/>
    <w:rsid w:val="00490183"/>
    <w:rsid w:val="00490819"/>
    <w:rsid w:val="0049535A"/>
    <w:rsid w:val="004A2DFE"/>
    <w:rsid w:val="004B2F7C"/>
    <w:rsid w:val="004B50AC"/>
    <w:rsid w:val="004B62F4"/>
    <w:rsid w:val="004C07CF"/>
    <w:rsid w:val="004C4968"/>
    <w:rsid w:val="004D0F4E"/>
    <w:rsid w:val="004D54C0"/>
    <w:rsid w:val="004E1135"/>
    <w:rsid w:val="004E2F70"/>
    <w:rsid w:val="004E3A1E"/>
    <w:rsid w:val="004E4A79"/>
    <w:rsid w:val="004F00C5"/>
    <w:rsid w:val="005016C5"/>
    <w:rsid w:val="005069A2"/>
    <w:rsid w:val="005072A9"/>
    <w:rsid w:val="00512686"/>
    <w:rsid w:val="0051455D"/>
    <w:rsid w:val="0051475C"/>
    <w:rsid w:val="005154E0"/>
    <w:rsid w:val="00516227"/>
    <w:rsid w:val="0052246D"/>
    <w:rsid w:val="00530D47"/>
    <w:rsid w:val="0053238A"/>
    <w:rsid w:val="005332A6"/>
    <w:rsid w:val="005438D1"/>
    <w:rsid w:val="00544D9C"/>
    <w:rsid w:val="0054536F"/>
    <w:rsid w:val="00545B3D"/>
    <w:rsid w:val="00546F3F"/>
    <w:rsid w:val="00547250"/>
    <w:rsid w:val="005739E9"/>
    <w:rsid w:val="005748F1"/>
    <w:rsid w:val="00574E5C"/>
    <w:rsid w:val="005826D6"/>
    <w:rsid w:val="00585B51"/>
    <w:rsid w:val="00587574"/>
    <w:rsid w:val="00587B6E"/>
    <w:rsid w:val="005A07A6"/>
    <w:rsid w:val="005A25B7"/>
    <w:rsid w:val="005B4885"/>
    <w:rsid w:val="005B73E0"/>
    <w:rsid w:val="005B7A74"/>
    <w:rsid w:val="005C4B5A"/>
    <w:rsid w:val="005C56AF"/>
    <w:rsid w:val="005D06C9"/>
    <w:rsid w:val="005D33BA"/>
    <w:rsid w:val="005D5584"/>
    <w:rsid w:val="005E2E00"/>
    <w:rsid w:val="005E6894"/>
    <w:rsid w:val="006040C8"/>
    <w:rsid w:val="006060B7"/>
    <w:rsid w:val="00606370"/>
    <w:rsid w:val="00607152"/>
    <w:rsid w:val="0061459C"/>
    <w:rsid w:val="00620B30"/>
    <w:rsid w:val="00627A72"/>
    <w:rsid w:val="0063597A"/>
    <w:rsid w:val="006510FC"/>
    <w:rsid w:val="00655BA5"/>
    <w:rsid w:val="00657F26"/>
    <w:rsid w:val="00657F88"/>
    <w:rsid w:val="00660416"/>
    <w:rsid w:val="00665C49"/>
    <w:rsid w:val="00683557"/>
    <w:rsid w:val="00687AA0"/>
    <w:rsid w:val="00690466"/>
    <w:rsid w:val="00692C1E"/>
    <w:rsid w:val="00693392"/>
    <w:rsid w:val="00693592"/>
    <w:rsid w:val="006A1BBA"/>
    <w:rsid w:val="006A1CD1"/>
    <w:rsid w:val="006A3391"/>
    <w:rsid w:val="006B24E9"/>
    <w:rsid w:val="006B26DE"/>
    <w:rsid w:val="006B6971"/>
    <w:rsid w:val="006B77C9"/>
    <w:rsid w:val="006C31BB"/>
    <w:rsid w:val="006C6BD8"/>
    <w:rsid w:val="006D0434"/>
    <w:rsid w:val="006E1E7C"/>
    <w:rsid w:val="006E2D77"/>
    <w:rsid w:val="006E39B7"/>
    <w:rsid w:val="006E39EE"/>
    <w:rsid w:val="006E59CC"/>
    <w:rsid w:val="006F0509"/>
    <w:rsid w:val="006F7772"/>
    <w:rsid w:val="00700418"/>
    <w:rsid w:val="0070245E"/>
    <w:rsid w:val="00703CD3"/>
    <w:rsid w:val="00716C06"/>
    <w:rsid w:val="0072061B"/>
    <w:rsid w:val="007324A4"/>
    <w:rsid w:val="00732F55"/>
    <w:rsid w:val="007435BE"/>
    <w:rsid w:val="00751F09"/>
    <w:rsid w:val="007522BC"/>
    <w:rsid w:val="00756CE9"/>
    <w:rsid w:val="00763263"/>
    <w:rsid w:val="00763A76"/>
    <w:rsid w:val="00770209"/>
    <w:rsid w:val="00772739"/>
    <w:rsid w:val="0077554D"/>
    <w:rsid w:val="00776D49"/>
    <w:rsid w:val="00786044"/>
    <w:rsid w:val="007861A0"/>
    <w:rsid w:val="007960B4"/>
    <w:rsid w:val="0079712B"/>
    <w:rsid w:val="00797B3F"/>
    <w:rsid w:val="007A0A81"/>
    <w:rsid w:val="007A176C"/>
    <w:rsid w:val="007A4791"/>
    <w:rsid w:val="007B7496"/>
    <w:rsid w:val="007C77C5"/>
    <w:rsid w:val="007D199D"/>
    <w:rsid w:val="007D6CC3"/>
    <w:rsid w:val="007F1327"/>
    <w:rsid w:val="008009D6"/>
    <w:rsid w:val="00802F57"/>
    <w:rsid w:val="0080303F"/>
    <w:rsid w:val="0081335D"/>
    <w:rsid w:val="0081416B"/>
    <w:rsid w:val="008202C6"/>
    <w:rsid w:val="00820D59"/>
    <w:rsid w:val="008218A3"/>
    <w:rsid w:val="0082372E"/>
    <w:rsid w:val="00823C9A"/>
    <w:rsid w:val="0082538C"/>
    <w:rsid w:val="00835391"/>
    <w:rsid w:val="00844238"/>
    <w:rsid w:val="00850267"/>
    <w:rsid w:val="0085281B"/>
    <w:rsid w:val="0085681C"/>
    <w:rsid w:val="00860F7E"/>
    <w:rsid w:val="0086437E"/>
    <w:rsid w:val="00867B38"/>
    <w:rsid w:val="0087487D"/>
    <w:rsid w:val="00874C14"/>
    <w:rsid w:val="0088040C"/>
    <w:rsid w:val="008830E2"/>
    <w:rsid w:val="0088356E"/>
    <w:rsid w:val="00885B62"/>
    <w:rsid w:val="00885CD2"/>
    <w:rsid w:val="008901CF"/>
    <w:rsid w:val="0089096C"/>
    <w:rsid w:val="008A1DD7"/>
    <w:rsid w:val="008A42BD"/>
    <w:rsid w:val="008A431C"/>
    <w:rsid w:val="008A4B0C"/>
    <w:rsid w:val="008A5073"/>
    <w:rsid w:val="008A5335"/>
    <w:rsid w:val="008B1313"/>
    <w:rsid w:val="008B3DBA"/>
    <w:rsid w:val="008B57DC"/>
    <w:rsid w:val="008B5977"/>
    <w:rsid w:val="008C1104"/>
    <w:rsid w:val="008C1E77"/>
    <w:rsid w:val="008C2AEB"/>
    <w:rsid w:val="008C67CC"/>
    <w:rsid w:val="008D0912"/>
    <w:rsid w:val="008D2195"/>
    <w:rsid w:val="008D39E1"/>
    <w:rsid w:val="008E0A8E"/>
    <w:rsid w:val="008E2258"/>
    <w:rsid w:val="008F2FA1"/>
    <w:rsid w:val="0090625E"/>
    <w:rsid w:val="009130E2"/>
    <w:rsid w:val="00913FF7"/>
    <w:rsid w:val="009201E1"/>
    <w:rsid w:val="00923281"/>
    <w:rsid w:val="00926708"/>
    <w:rsid w:val="009272B6"/>
    <w:rsid w:val="0093101E"/>
    <w:rsid w:val="00934852"/>
    <w:rsid w:val="009350D7"/>
    <w:rsid w:val="0094119C"/>
    <w:rsid w:val="009418F3"/>
    <w:rsid w:val="00944018"/>
    <w:rsid w:val="0094510D"/>
    <w:rsid w:val="009453B2"/>
    <w:rsid w:val="00951DD3"/>
    <w:rsid w:val="0095453C"/>
    <w:rsid w:val="009606DA"/>
    <w:rsid w:val="009642F9"/>
    <w:rsid w:val="009652B3"/>
    <w:rsid w:val="009715D3"/>
    <w:rsid w:val="00971714"/>
    <w:rsid w:val="00972084"/>
    <w:rsid w:val="00972866"/>
    <w:rsid w:val="009847DB"/>
    <w:rsid w:val="00986E21"/>
    <w:rsid w:val="00987F3E"/>
    <w:rsid w:val="00990B28"/>
    <w:rsid w:val="009913F6"/>
    <w:rsid w:val="009959E1"/>
    <w:rsid w:val="009A056A"/>
    <w:rsid w:val="009A2B23"/>
    <w:rsid w:val="009A4508"/>
    <w:rsid w:val="009A5970"/>
    <w:rsid w:val="009A7828"/>
    <w:rsid w:val="009B2967"/>
    <w:rsid w:val="009B6EC9"/>
    <w:rsid w:val="009C041D"/>
    <w:rsid w:val="009C690C"/>
    <w:rsid w:val="009D7372"/>
    <w:rsid w:val="009E57D4"/>
    <w:rsid w:val="009E5A6F"/>
    <w:rsid w:val="009F0A7D"/>
    <w:rsid w:val="00A02572"/>
    <w:rsid w:val="00A02BC9"/>
    <w:rsid w:val="00A114B8"/>
    <w:rsid w:val="00A13742"/>
    <w:rsid w:val="00A1654D"/>
    <w:rsid w:val="00A166AA"/>
    <w:rsid w:val="00A20962"/>
    <w:rsid w:val="00A2097F"/>
    <w:rsid w:val="00A33351"/>
    <w:rsid w:val="00A3689E"/>
    <w:rsid w:val="00A42A5E"/>
    <w:rsid w:val="00A43CA2"/>
    <w:rsid w:val="00A4770D"/>
    <w:rsid w:val="00A51F9A"/>
    <w:rsid w:val="00A5259B"/>
    <w:rsid w:val="00A53304"/>
    <w:rsid w:val="00A57558"/>
    <w:rsid w:val="00A63C76"/>
    <w:rsid w:val="00A72B2B"/>
    <w:rsid w:val="00A7488D"/>
    <w:rsid w:val="00A74A8B"/>
    <w:rsid w:val="00A76A0E"/>
    <w:rsid w:val="00A776A5"/>
    <w:rsid w:val="00A816BE"/>
    <w:rsid w:val="00A81F7C"/>
    <w:rsid w:val="00A85D2E"/>
    <w:rsid w:val="00A86C9E"/>
    <w:rsid w:val="00A9783D"/>
    <w:rsid w:val="00AA493D"/>
    <w:rsid w:val="00AB10E0"/>
    <w:rsid w:val="00AC01B2"/>
    <w:rsid w:val="00AC357B"/>
    <w:rsid w:val="00AC651E"/>
    <w:rsid w:val="00AC750A"/>
    <w:rsid w:val="00AD2716"/>
    <w:rsid w:val="00AD2DA6"/>
    <w:rsid w:val="00AD5369"/>
    <w:rsid w:val="00AD5F57"/>
    <w:rsid w:val="00AE363E"/>
    <w:rsid w:val="00AF0913"/>
    <w:rsid w:val="00AF4D1C"/>
    <w:rsid w:val="00AF663B"/>
    <w:rsid w:val="00B00717"/>
    <w:rsid w:val="00B033C7"/>
    <w:rsid w:val="00B078E8"/>
    <w:rsid w:val="00B10B16"/>
    <w:rsid w:val="00B22DAA"/>
    <w:rsid w:val="00B2382E"/>
    <w:rsid w:val="00B23D3F"/>
    <w:rsid w:val="00B23E4C"/>
    <w:rsid w:val="00B2714D"/>
    <w:rsid w:val="00B27B74"/>
    <w:rsid w:val="00B30237"/>
    <w:rsid w:val="00B309B1"/>
    <w:rsid w:val="00B35008"/>
    <w:rsid w:val="00B37710"/>
    <w:rsid w:val="00B46FB0"/>
    <w:rsid w:val="00B47936"/>
    <w:rsid w:val="00B50E71"/>
    <w:rsid w:val="00B60342"/>
    <w:rsid w:val="00B63B08"/>
    <w:rsid w:val="00B673A2"/>
    <w:rsid w:val="00B67FD0"/>
    <w:rsid w:val="00B730A5"/>
    <w:rsid w:val="00B7456D"/>
    <w:rsid w:val="00B80777"/>
    <w:rsid w:val="00B81B6F"/>
    <w:rsid w:val="00B84557"/>
    <w:rsid w:val="00B8472B"/>
    <w:rsid w:val="00B86E33"/>
    <w:rsid w:val="00B87A76"/>
    <w:rsid w:val="00B91966"/>
    <w:rsid w:val="00B95C78"/>
    <w:rsid w:val="00BB3D40"/>
    <w:rsid w:val="00BB7957"/>
    <w:rsid w:val="00BB7FBA"/>
    <w:rsid w:val="00BC0CF9"/>
    <w:rsid w:val="00BD1D44"/>
    <w:rsid w:val="00BD497C"/>
    <w:rsid w:val="00BD6B27"/>
    <w:rsid w:val="00BF1385"/>
    <w:rsid w:val="00BF5553"/>
    <w:rsid w:val="00C16E95"/>
    <w:rsid w:val="00C4384F"/>
    <w:rsid w:val="00C552A8"/>
    <w:rsid w:val="00C55A56"/>
    <w:rsid w:val="00C60B33"/>
    <w:rsid w:val="00C62791"/>
    <w:rsid w:val="00C63B4B"/>
    <w:rsid w:val="00C63B82"/>
    <w:rsid w:val="00C63BF1"/>
    <w:rsid w:val="00C655CC"/>
    <w:rsid w:val="00C65E8E"/>
    <w:rsid w:val="00C7256C"/>
    <w:rsid w:val="00C80091"/>
    <w:rsid w:val="00C836F8"/>
    <w:rsid w:val="00C96B41"/>
    <w:rsid w:val="00C97E59"/>
    <w:rsid w:val="00CA1C41"/>
    <w:rsid w:val="00CA5933"/>
    <w:rsid w:val="00CB603F"/>
    <w:rsid w:val="00CB6400"/>
    <w:rsid w:val="00CB70FA"/>
    <w:rsid w:val="00CC523B"/>
    <w:rsid w:val="00CD392C"/>
    <w:rsid w:val="00CD5FF7"/>
    <w:rsid w:val="00CD7004"/>
    <w:rsid w:val="00CD72C0"/>
    <w:rsid w:val="00CE2D4E"/>
    <w:rsid w:val="00CF10E8"/>
    <w:rsid w:val="00CF127B"/>
    <w:rsid w:val="00CF37CD"/>
    <w:rsid w:val="00CF653C"/>
    <w:rsid w:val="00D01799"/>
    <w:rsid w:val="00D051CE"/>
    <w:rsid w:val="00D10F53"/>
    <w:rsid w:val="00D13952"/>
    <w:rsid w:val="00D13DB8"/>
    <w:rsid w:val="00D179D5"/>
    <w:rsid w:val="00D26F2A"/>
    <w:rsid w:val="00D30BF8"/>
    <w:rsid w:val="00D32745"/>
    <w:rsid w:val="00D3542F"/>
    <w:rsid w:val="00D4075D"/>
    <w:rsid w:val="00D40E7A"/>
    <w:rsid w:val="00D41A95"/>
    <w:rsid w:val="00D46F75"/>
    <w:rsid w:val="00D47DFD"/>
    <w:rsid w:val="00D51FEA"/>
    <w:rsid w:val="00D541AE"/>
    <w:rsid w:val="00D56D3B"/>
    <w:rsid w:val="00D6555E"/>
    <w:rsid w:val="00D67554"/>
    <w:rsid w:val="00D67747"/>
    <w:rsid w:val="00D67BE8"/>
    <w:rsid w:val="00D7358A"/>
    <w:rsid w:val="00D744DE"/>
    <w:rsid w:val="00D74946"/>
    <w:rsid w:val="00D863EC"/>
    <w:rsid w:val="00D8691A"/>
    <w:rsid w:val="00DA0945"/>
    <w:rsid w:val="00DA31DD"/>
    <w:rsid w:val="00DB39DB"/>
    <w:rsid w:val="00DB4941"/>
    <w:rsid w:val="00DB70EC"/>
    <w:rsid w:val="00DC3353"/>
    <w:rsid w:val="00DD0A2F"/>
    <w:rsid w:val="00DD362E"/>
    <w:rsid w:val="00DE554C"/>
    <w:rsid w:val="00DE69C0"/>
    <w:rsid w:val="00DE7104"/>
    <w:rsid w:val="00DE7311"/>
    <w:rsid w:val="00DF0421"/>
    <w:rsid w:val="00DF4AB5"/>
    <w:rsid w:val="00DF68E4"/>
    <w:rsid w:val="00DF75BD"/>
    <w:rsid w:val="00E021A0"/>
    <w:rsid w:val="00E03888"/>
    <w:rsid w:val="00E03D92"/>
    <w:rsid w:val="00E11F86"/>
    <w:rsid w:val="00E13D81"/>
    <w:rsid w:val="00E20B73"/>
    <w:rsid w:val="00E3038A"/>
    <w:rsid w:val="00E33EAD"/>
    <w:rsid w:val="00E346B6"/>
    <w:rsid w:val="00E35A5E"/>
    <w:rsid w:val="00E37773"/>
    <w:rsid w:val="00E4028A"/>
    <w:rsid w:val="00E54EF7"/>
    <w:rsid w:val="00E679FA"/>
    <w:rsid w:val="00E72739"/>
    <w:rsid w:val="00E7323F"/>
    <w:rsid w:val="00E81529"/>
    <w:rsid w:val="00E837A2"/>
    <w:rsid w:val="00E87922"/>
    <w:rsid w:val="00E924FC"/>
    <w:rsid w:val="00E94BA9"/>
    <w:rsid w:val="00E95CC7"/>
    <w:rsid w:val="00E97E24"/>
    <w:rsid w:val="00EA19E9"/>
    <w:rsid w:val="00EA2010"/>
    <w:rsid w:val="00EA2BBD"/>
    <w:rsid w:val="00EB4268"/>
    <w:rsid w:val="00EC108D"/>
    <w:rsid w:val="00EC598C"/>
    <w:rsid w:val="00ED3B0D"/>
    <w:rsid w:val="00ED4A87"/>
    <w:rsid w:val="00ED5742"/>
    <w:rsid w:val="00EE4FB8"/>
    <w:rsid w:val="00EE79DC"/>
    <w:rsid w:val="00EF4652"/>
    <w:rsid w:val="00F0180B"/>
    <w:rsid w:val="00F06A6D"/>
    <w:rsid w:val="00F13839"/>
    <w:rsid w:val="00F23102"/>
    <w:rsid w:val="00F337EE"/>
    <w:rsid w:val="00F512A7"/>
    <w:rsid w:val="00F512C7"/>
    <w:rsid w:val="00F52E22"/>
    <w:rsid w:val="00F6153C"/>
    <w:rsid w:val="00F62F8F"/>
    <w:rsid w:val="00F67A0D"/>
    <w:rsid w:val="00F67CF9"/>
    <w:rsid w:val="00F70723"/>
    <w:rsid w:val="00F825A7"/>
    <w:rsid w:val="00F84B08"/>
    <w:rsid w:val="00FA2071"/>
    <w:rsid w:val="00FA2D95"/>
    <w:rsid w:val="00FA5E78"/>
    <w:rsid w:val="00FA6CC1"/>
    <w:rsid w:val="00FA7558"/>
    <w:rsid w:val="00FB584B"/>
    <w:rsid w:val="00FD5D90"/>
    <w:rsid w:val="00FD6F1F"/>
    <w:rsid w:val="00FE1EB9"/>
    <w:rsid w:val="00FE2D64"/>
    <w:rsid w:val="00FE3140"/>
    <w:rsid w:val="00FE3671"/>
    <w:rsid w:val="00FE63B4"/>
    <w:rsid w:val="00FF1050"/>
    <w:rsid w:val="00FF6E75"/>
    <w:rsid w:val="033F013F"/>
    <w:rsid w:val="0552133D"/>
    <w:rsid w:val="05872B0D"/>
    <w:rsid w:val="062D7614"/>
    <w:rsid w:val="067E2EEC"/>
    <w:rsid w:val="07D249D3"/>
    <w:rsid w:val="0B97048C"/>
    <w:rsid w:val="0E3021D4"/>
    <w:rsid w:val="116F6022"/>
    <w:rsid w:val="15EB3A02"/>
    <w:rsid w:val="16671DD3"/>
    <w:rsid w:val="18284935"/>
    <w:rsid w:val="18306576"/>
    <w:rsid w:val="190E310D"/>
    <w:rsid w:val="1CD03EAB"/>
    <w:rsid w:val="1EF861C2"/>
    <w:rsid w:val="1FB65342"/>
    <w:rsid w:val="2230058F"/>
    <w:rsid w:val="22A05934"/>
    <w:rsid w:val="23642599"/>
    <w:rsid w:val="248D3322"/>
    <w:rsid w:val="25504350"/>
    <w:rsid w:val="25650B9B"/>
    <w:rsid w:val="2EE94116"/>
    <w:rsid w:val="2F91646A"/>
    <w:rsid w:val="374009A7"/>
    <w:rsid w:val="37E91D33"/>
    <w:rsid w:val="38745427"/>
    <w:rsid w:val="3CC2658C"/>
    <w:rsid w:val="3E05139D"/>
    <w:rsid w:val="3F25181B"/>
    <w:rsid w:val="3FE05E9A"/>
    <w:rsid w:val="411C5D57"/>
    <w:rsid w:val="431909EA"/>
    <w:rsid w:val="439975A1"/>
    <w:rsid w:val="43F0212D"/>
    <w:rsid w:val="472660F0"/>
    <w:rsid w:val="48755AEE"/>
    <w:rsid w:val="49D15970"/>
    <w:rsid w:val="4B135336"/>
    <w:rsid w:val="4DFC3362"/>
    <w:rsid w:val="4F0F6D17"/>
    <w:rsid w:val="4FCC15B9"/>
    <w:rsid w:val="519038AD"/>
    <w:rsid w:val="51F84053"/>
    <w:rsid w:val="53F07009"/>
    <w:rsid w:val="56826602"/>
    <w:rsid w:val="56E90CE3"/>
    <w:rsid w:val="584F3519"/>
    <w:rsid w:val="5A70248F"/>
    <w:rsid w:val="5BE94F82"/>
    <w:rsid w:val="60AA1F02"/>
    <w:rsid w:val="63285221"/>
    <w:rsid w:val="649B020A"/>
    <w:rsid w:val="64C0408F"/>
    <w:rsid w:val="6A1A07A1"/>
    <w:rsid w:val="6AD36CC7"/>
    <w:rsid w:val="6B081C82"/>
    <w:rsid w:val="6E817A39"/>
    <w:rsid w:val="6EB62660"/>
    <w:rsid w:val="6F8833C5"/>
    <w:rsid w:val="70D25161"/>
    <w:rsid w:val="71111238"/>
    <w:rsid w:val="731F44D9"/>
    <w:rsid w:val="73D719D7"/>
    <w:rsid w:val="73DB10DC"/>
    <w:rsid w:val="77C855B4"/>
    <w:rsid w:val="7A646932"/>
    <w:rsid w:val="7AB454BD"/>
    <w:rsid w:val="7C290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62929A-F318-4C47-A748-EBD9C714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pPr>
      <w:widowControl/>
      <w:spacing w:after="100" w:line="259" w:lineRule="auto"/>
      <w:jc w:val="left"/>
    </w:pPr>
    <w:rPr>
      <w:kern w:val="0"/>
      <w:sz w:val="22"/>
      <w:szCs w:val="22"/>
    </w:rPr>
  </w:style>
  <w:style w:type="paragraph" w:styleId="a6">
    <w:name w:val="Normal (Web)"/>
    <w:basedOn w:val="a"/>
    <w:uiPriority w:val="99"/>
    <w:qFormat/>
    <w:pPr>
      <w:spacing w:beforeAutospacing="1" w:afterAutospacing="1"/>
      <w:jc w:val="left"/>
    </w:pPr>
    <w:rPr>
      <w:rFonts w:cs="Times New Roman"/>
      <w:kern w:val="0"/>
      <w:sz w:val="24"/>
    </w:rPr>
  </w:style>
  <w:style w:type="character" w:styleId="a7">
    <w:name w:val="Hyperlink"/>
    <w:basedOn w:val="a0"/>
    <w:qFormat/>
    <w:rPr>
      <w:color w:val="0563C1" w:themeColor="hyperlink"/>
      <w:u w:val="single"/>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 w:type="character" w:customStyle="1" w:styleId="2Char">
    <w:name w:val="标题 2 Char"/>
    <w:basedOn w:val="a0"/>
    <w:link w:val="2"/>
    <w:semiHidden/>
    <w:qFormat/>
    <w:rPr>
      <w:rFonts w:asciiTheme="majorHAnsi" w:eastAsiaTheme="majorEastAsia" w:hAnsiTheme="majorHAnsi" w:cstheme="majorBidi"/>
      <w:b/>
      <w:bCs/>
      <w:kern w:val="2"/>
      <w:sz w:val="32"/>
      <w:szCs w:val="32"/>
    </w:rPr>
  </w:style>
  <w:style w:type="paragraph" w:styleId="a8">
    <w:name w:val="List Paragraph"/>
    <w:basedOn w:val="a"/>
    <w:uiPriority w:val="34"/>
    <w:qFormat/>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BFA5FD-E3E2-4DF8-A6B1-3AEF608CC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15</Pages>
  <Words>1413</Words>
  <Characters>8060</Characters>
  <Application>Microsoft Office Word</Application>
  <DocSecurity>0</DocSecurity>
  <Lines>67</Lines>
  <Paragraphs>18</Paragraphs>
  <ScaleCrop>false</ScaleCrop>
  <Company>Windsoft</Company>
  <LinksUpToDate>false</LinksUpToDate>
  <CharactersWithSpaces>9455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姚宝宇</cp:lastModifiedBy>
  <cp:revision>478</cp:revision>
  <cp:lastPrinted>2018-06-07T09:16:00Z</cp:lastPrinted>
  <dcterms:created xsi:type="dcterms:W3CDTF">2018-04-25T01:48:00Z</dcterms:created>
  <dcterms:modified xsi:type="dcterms:W3CDTF">2018-06-22T07:18:00Z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